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6" w:name="X6c65187011937406bc8b8bbd069430fea91f5b5"/>
    <w:p>
      <w:pPr>
        <w:pStyle w:val="Heading1"/>
      </w:pPr>
      <w:r>
        <w:t xml:space="preserve">FAQ — Questions Newcomers, Professionals, and Students Actually Ask</w:t>
      </w:r>
    </w:p>
    <w:p>
      <w:pPr>
        <w:pStyle w:val="FirstParagraph"/>
      </w:pPr>
      <w:r>
        <w:rPr>
          <w:i/>
          <w:iCs/>
        </w:rPr>
        <w:t xml:space="preserve">Short answers to the questions that come up at the door. Every answer points back to the doctrine or the literacy layer, so the FAQ is a map, not a replacement.</w:t>
      </w:r>
    </w:p>
    <w:p>
      <w:r>
        <w:pict>
          <v:rect style="width:0;height:1.5pt" o:hralign="center" o:hrstd="t" o:hr="t"/>
        </w:pict>
      </w:r>
    </w:p>
    <w:bookmarkStart w:id="28" w:name="the-basics"/>
    <w:p>
      <w:pPr>
        <w:pStyle w:val="Heading2"/>
      </w:pPr>
      <w:r>
        <w:t xml:space="preserve">The basics</w:t>
      </w:r>
    </w:p>
    <w:p>
      <w:pPr>
        <w:pStyle w:val="FirstParagraph"/>
      </w:pPr>
      <w:r>
        <w:rPr>
          <w:b/>
          <w:bCs/>
        </w:rPr>
        <w:t xml:space="preserve">What is this place?</w:t>
      </w:r>
    </w:p>
    <w:p>
      <w:pPr>
        <w:pStyle w:val="BodyText"/>
      </w:pPr>
      <w:r>
        <w:t xml:space="preserve">This is the</w:t>
      </w:r>
      <w:r>
        <w:t xml:space="preserve"> </w:t>
      </w:r>
      <w:r>
        <w:rPr>
          <w:b/>
          <w:bCs/>
        </w:rPr>
        <w:t xml:space="preserve">Launchpad Sandbox</w:t>
      </w:r>
      <w:r>
        <w:t xml:space="preserve"> </w:t>
      </w:r>
      <w:r>
        <w:t xml:space="preserve">— the one-stop learning space for the discipline of winning federal business. It has two layers: the</w:t>
      </w:r>
      <w:r>
        <w:t xml:space="preserve"> </w:t>
      </w:r>
      <w:r>
        <w:rPr>
          <w:b/>
          <w:bCs/>
        </w:rPr>
        <w:t xml:space="preserve">doctrine</w:t>
      </w:r>
      <w:r>
        <w:t xml:space="preserve"> </w:t>
      </w:r>
      <w:r>
        <w:t xml:space="preserve">(</w:t>
      </w:r>
      <w:hyperlink r:id="rId20">
        <w:r>
          <w:rPr>
            <w:rStyle w:val="Hyperlink"/>
          </w:rPr>
          <w:t xml:space="preserve">doctrine/</w:t>
        </w:r>
      </w:hyperlink>
      <w:r>
        <w:t xml:space="preserve">, the durable concepts that never change) and the</w:t>
      </w:r>
      <w:r>
        <w:t xml:space="preserve"> </w:t>
      </w:r>
      <w:r>
        <w:rPr>
          <w:b/>
          <w:bCs/>
        </w:rPr>
        <w:t xml:space="preserve">tools</w:t>
      </w:r>
      <w:r>
        <w:t xml:space="preserve"> </w:t>
      </w:r>
      <w:r>
        <w:t xml:space="preserve">(which are mentioned conceptually only and never taught as a dependency). The core rule is in</w:t>
      </w:r>
      <w:r>
        <w:t xml:space="preserve"> </w:t>
      </w:r>
      <w:hyperlink r:id="rId21">
        <w:r>
          <w:rPr>
            <w:rStyle w:val="Hyperlink"/>
          </w:rPr>
          <w:t xml:space="preserve">doctrine/08</w:t>
        </w:r>
      </w:hyperlink>
      <w:r>
        <w:t xml:space="preserve">:</w:t>
      </w:r>
      <w:r>
        <w:t xml:space="preserve"> </w:t>
      </w:r>
      <w:r>
        <w:rPr>
          <w:i/>
          <w:iCs/>
        </w:rPr>
        <w:t xml:space="preserve">concepts are durable, tools are swappable.</w:t>
      </w:r>
    </w:p>
    <w:p>
      <w:pPr>
        <w:pStyle w:val="BodyText"/>
      </w:pPr>
      <w:r>
        <w:rPr>
          <w:b/>
          <w:bCs/>
        </w:rPr>
        <w:t xml:space="preserve">What is an ORBITAL?</w:t>
      </w:r>
    </w:p>
    <w:p>
      <w:pPr>
        <w:pStyle w:val="BodyText"/>
      </w:pPr>
      <w:r>
        <w:t xml:space="preserve">The ORBITAL is the</w:t>
      </w:r>
      <w:r>
        <w:t xml:space="preserve"> </w:t>
      </w:r>
      <w:r>
        <w:rPr>
          <w:b/>
          <w:bCs/>
        </w:rPr>
        <w:t xml:space="preserve">seven-axis business structure for a pursuit</w:t>
      </w:r>
      <w:r>
        <w:t xml:space="preserve">:</w:t>
      </w:r>
      <w:r>
        <w:t xml:space="preserve"> </w:t>
      </w:r>
      <w:r>
        <w:rPr>
          <w:b/>
          <w:bCs/>
        </w:rPr>
        <w:t xml:space="preserve">O</w:t>
      </w:r>
      <w:r>
        <w:t xml:space="preserve">bjective,</w:t>
      </w:r>
      <w:r>
        <w:t xml:space="preserve"> </w:t>
      </w:r>
      <w:r>
        <w:rPr>
          <w:b/>
          <w:bCs/>
        </w:rPr>
        <w:t xml:space="preserve">R</w:t>
      </w:r>
      <w:r>
        <w:t xml:space="preserve">esources,</w:t>
      </w:r>
      <w:r>
        <w:t xml:space="preserve"> </w:t>
      </w:r>
      <w:r>
        <w:rPr>
          <w:b/>
          <w:bCs/>
        </w:rPr>
        <w:t xml:space="preserve">B</w:t>
      </w:r>
      <w:r>
        <w:t xml:space="preserve">udget,</w:t>
      </w:r>
      <w:r>
        <w:t xml:space="preserve"> </w:t>
      </w:r>
      <w:r>
        <w:rPr>
          <w:b/>
          <w:bCs/>
        </w:rPr>
        <w:t xml:space="preserve">I</w:t>
      </w:r>
      <w:r>
        <w:t xml:space="preserve">ndicators,</w:t>
      </w:r>
      <w:r>
        <w:t xml:space="preserve"> </w:t>
      </w:r>
      <w:r>
        <w:rPr>
          <w:b/>
          <w:bCs/>
        </w:rPr>
        <w:t xml:space="preserve">T</w:t>
      </w:r>
      <w:r>
        <w:t xml:space="preserve">ransport,</w:t>
      </w:r>
      <w:r>
        <w:t xml:space="preserve"> </w:t>
      </w:r>
      <w:r>
        <w:rPr>
          <w:b/>
          <w:bCs/>
        </w:rPr>
        <w:t xml:space="preserve">A</w:t>
      </w:r>
      <w:r>
        <w:t xml:space="preserve">ctivities,</w:t>
      </w:r>
      <w:r>
        <w:t xml:space="preserve"> </w:t>
      </w:r>
      <w:r>
        <w:rPr>
          <w:b/>
          <w:bCs/>
        </w:rPr>
        <w:t xml:space="preserve">L</w:t>
      </w:r>
      <w:r>
        <w:t xml:space="preserve">ogistics (</w:t>
      </w:r>
      <w:hyperlink r:id="rId22">
        <w:r>
          <w:rPr>
            <w:rStyle w:val="Hyperlink"/>
          </w:rPr>
          <w:t xml:space="preserve">doctrine/06</w:t>
        </w:r>
      </w:hyperlink>
      <w:r>
        <w:t xml:space="preserve">). It is the skeleton every serious pursuit needs — the single place where the facts, decisions, and money live so the pursuit survives the week-to-week chaos. In the lifecycle (</w:t>
      </w:r>
      <w:hyperlink r:id="rId23">
        <w:r>
          <w:rPr>
            <w:rStyle w:val="Hyperlink"/>
          </w:rPr>
          <w:t xml:space="preserve">doctrine/07</w:t>
        </w:r>
      </w:hyperlink>
      <w:r>
        <w:t xml:space="preserve">), a</w:t>
      </w:r>
      <w:r>
        <w:t xml:space="preserve"> </w:t>
      </w:r>
      <w:r>
        <w:rPr>
          <w:b/>
          <w:bCs/>
        </w:rPr>
        <w:t xml:space="preserve">Dream</w:t>
      </w:r>
      <w:r>
        <w:t xml:space="preserve"> </w:t>
      </w:r>
      <w:r>
        <w:t xml:space="preserve">is a seed idea; an</w:t>
      </w:r>
      <w:r>
        <w:t xml:space="preserve"> </w:t>
      </w:r>
      <w:r>
        <w:rPr>
          <w:b/>
          <w:bCs/>
        </w:rPr>
        <w:t xml:space="preserve">ORBITAL</w:t>
      </w:r>
      <w:r>
        <w:t xml:space="preserve"> </w:t>
      </w:r>
      <w:r>
        <w:t xml:space="preserve">is a pursuit with structure, a budget, and momentum; a</w:t>
      </w:r>
      <w:r>
        <w:t xml:space="preserve"> </w:t>
      </w:r>
      <w:r>
        <w:rPr>
          <w:b/>
          <w:bCs/>
        </w:rPr>
        <w:t xml:space="preserve">World</w:t>
      </w:r>
      <w:r>
        <w:t xml:space="preserve"> </w:t>
      </w:r>
      <w:r>
        <w:t xml:space="preserve">is a fully realized enterprise.</w:t>
      </w:r>
    </w:p>
    <w:p>
      <w:pPr>
        <w:pStyle w:val="BodyText"/>
      </w:pPr>
      <w:r>
        <w:rPr>
          <w:b/>
          <w:bCs/>
        </w:rPr>
        <w:t xml:space="preserve">Is the federal market really this open?</w:t>
      </w:r>
    </w:p>
    <w:p>
      <w:pPr>
        <w:pStyle w:val="BodyText"/>
      </w:pPr>
      <w:r>
        <w:t xml:space="preserve">Yes — more than most people believe. Congress appropriates, agencies publish their needs and rules in advance, and winners are chosen on published criteria. The market has addresses:</w:t>
      </w:r>
      <w:r>
        <w:t xml:space="preserve"> </w:t>
      </w:r>
      <w:r>
        <w:rPr>
          <w:b/>
          <w:bCs/>
        </w:rPr>
        <w:t xml:space="preserve">SAM.gov</w:t>
      </w:r>
      <w:r>
        <w:t xml:space="preserve"> </w:t>
      </w:r>
      <w:r>
        <w:t xml:space="preserve">for contracts,</w:t>
      </w:r>
      <w:r>
        <w:t xml:space="preserve"> </w:t>
      </w:r>
      <w:r>
        <w:rPr>
          <w:b/>
          <w:bCs/>
        </w:rPr>
        <w:t xml:space="preserve">Grants.gov</w:t>
      </w:r>
      <w:r>
        <w:t xml:space="preserve"> </w:t>
      </w:r>
      <w:r>
        <w:t xml:space="preserve">for grants,</w:t>
      </w:r>
      <w:r>
        <w:t xml:space="preserve"> </w:t>
      </w:r>
      <w:r>
        <w:rPr>
          <w:b/>
          <w:bCs/>
        </w:rPr>
        <w:t xml:space="preserve">USAspending.gov</w:t>
      </w:r>
      <w:r>
        <w:t xml:space="preserve"> </w:t>
      </w:r>
      <w:r>
        <w:t xml:space="preserve">for the published record of who got what (</w:t>
      </w:r>
      <w:hyperlink r:id="rId24">
        <w:r>
          <w:rPr>
            <w:rStyle w:val="Hyperlink"/>
          </w:rPr>
          <w:t xml:space="preserve">doctrine/01</w:t>
        </w:r>
      </w:hyperlink>
      <w:r>
        <w:t xml:space="preserve">,</w:t>
      </w:r>
      <w:r>
        <w:t xml:space="preserve"> </w:t>
      </w:r>
      <w:hyperlink r:id="rId25">
        <w:r>
          <w:rPr>
            <w:rStyle w:val="Hyperlink"/>
          </w:rPr>
          <w:t xml:space="preserve">literacy/where-the-money-flows</w:t>
        </w:r>
      </w:hyperlink>
      <w:r>
        <w:t xml:space="preserve">). There is no secret handshake — there is a system of record.</w:t>
      </w:r>
    </w:p>
    <w:p>
      <w:pPr>
        <w:pStyle w:val="BodyText"/>
      </w:pPr>
      <w:r>
        <w:rPr>
          <w:b/>
          <w:bCs/>
        </w:rPr>
        <w:t xml:space="preserve">Do I need to know software to do this?</w:t>
      </w:r>
    </w:p>
    <w:p>
      <w:pPr>
        <w:pStyle w:val="BodyText"/>
      </w:pPr>
      <w:r>
        <w:t xml:space="preserve">No. This course is deliberately</w:t>
      </w:r>
      <w:r>
        <w:t xml:space="preserve"> </w:t>
      </w:r>
      <w:r>
        <w:rPr>
          <w:b/>
          <w:bCs/>
        </w:rPr>
        <w:t xml:space="preserve">stack-agnostic</w:t>
      </w:r>
      <w:r>
        <w:t xml:space="preserve">: you are never tested on a product, and no lesson requires one (</w:t>
      </w:r>
      <w:hyperlink r:id="rId21">
        <w:r>
          <w:rPr>
            <w:rStyle w:val="Hyperlink"/>
          </w:rPr>
          <w:t xml:space="preserve">doctrine/08</w:t>
        </w:r>
      </w:hyperlink>
      <w:r>
        <w:t xml:space="preserve">). The capstone is explicitly stack-free — paper, a whiteboard, a spreadsheet, or a word processor all work. The concepts (the pipeline, the gates, the score, the ORBITAL) are portable; the tools are swappable.</w:t>
      </w:r>
    </w:p>
    <w:p>
      <w:pPr>
        <w:pStyle w:val="BodyText"/>
      </w:pPr>
      <w:r>
        <w:rPr>
          <w:b/>
          <w:bCs/>
        </w:rPr>
        <w:t xml:space="preserve">Do I need a degree?</w:t>
      </w:r>
    </w:p>
    <w:p>
      <w:pPr>
        <w:pStyle w:val="BodyText"/>
      </w:pPr>
      <w:r>
        <w:t xml:space="preserve">No. The college course is built for three degree programs (Strategic Initiative, MBA, MPA), but the doctrine is taught to</w:t>
      </w:r>
      <w:r>
        <w:t xml:space="preserve"> </w:t>
      </w:r>
      <w:r>
        <w:rPr>
          <w:i/>
          <w:iCs/>
        </w:rPr>
        <w:t xml:space="preserve">anyone</w:t>
      </w:r>
      <w:r>
        <w:t xml:space="preserve"> </w:t>
      </w:r>
      <w:r>
        <w:t xml:space="preserve">— fellows, professionals, curious readers. The Launchpad fellowship ladder (L1 Explorer → L5 Leader) is a levels-based path, not a degree path. If you’re a professional 50+, the</w:t>
      </w:r>
      <w:r>
        <w:t xml:space="preserve"> </w:t>
      </w:r>
      <w:hyperlink r:id="rId26">
        <w:r>
          <w:rPr>
            <w:rStyle w:val="Hyperlink"/>
          </w:rPr>
          <w:t xml:space="preserve">Ignition Legacy Track</w:t>
        </w:r>
      </w:hyperlink>
      <w:r>
        <w:t xml:space="preserve"> </w:t>
      </w:r>
      <w:r>
        <w:t xml:space="preserve">maps the same doctrine to your experience. See the</w:t>
      </w:r>
      <w:r>
        <w:t xml:space="preserve"> </w:t>
      </w:r>
      <w:hyperlink r:id="rId27">
        <w:r>
          <w:rPr>
            <w:rStyle w:val="Hyperlink"/>
          </w:rPr>
          <w:t xml:space="preserve">onboarding guide</w:t>
        </w:r>
      </w:hyperlink>
      <w:r>
        <w:t xml:space="preserve"> </w:t>
      </w:r>
      <w:r>
        <w:t xml:space="preserve">for where to start.</w:t>
      </w:r>
    </w:p>
    <w:p>
      <w:pPr>
        <w:pStyle w:val="BodyText"/>
      </w:pPr>
      <w:r>
        <w:rPr>
          <w:b/>
          <w:bCs/>
        </w:rPr>
        <w:t xml:space="preserve">How is this different from Shipley training?</w:t>
      </w:r>
    </w:p>
    <w:p>
      <w:pPr>
        <w:pStyle w:val="BodyText"/>
      </w:pPr>
      <w:r>
        <w:t xml:space="preserve">Shipley Associates is the famous commercial capture/proposal training — the doctrine’s gate vocabulary (bid/no-bid, color teams) is in fact</w:t>
      </w:r>
      <w:r>
        <w:t xml:space="preserve"> </w:t>
      </w:r>
      <w:r>
        <w:rPr>
          <w:i/>
          <w:iCs/>
        </w:rPr>
        <w:t xml:space="preserve">Shipley-aligned</w:t>
      </w:r>
      <w:r>
        <w:t xml:space="preserve"> </w:t>
      </w:r>
      <w:r>
        <w:t xml:space="preserve">(the align map’s</w:t>
      </w:r>
      <w:r>
        <w:t xml:space="preserve"> </w:t>
      </w:r>
      <w:hyperlink r:id="rId26">
        <w:r>
          <w:rPr>
            <w:rStyle w:val="Hyperlink"/>
          </w:rPr>
          <w:t xml:space="preserve">gates section</w:t>
        </w:r>
      </w:hyperlink>
      <w:r>
        <w:t xml:space="preserve"> </w:t>
      </w:r>
      <w:r>
        <w:t xml:space="preserve">shows the</w:t>
      </w:r>
      <w:r>
        <w:t xml:space="preserve"> </w:t>
      </w:r>
      <w:r>
        <w:rPr>
          <w:rStyle w:val="VerbatimChar"/>
        </w:rPr>
        <w:t xml:space="preserve">shipley-capture-gates.yaml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shipley</w:t>
      </w:r>
      <w:r>
        <w:t xml:space="preserve"> </w:t>
      </w:r>
      <w:r>
        <w:t xml:space="preserve">pWin formula on the machine side). The difference is posture: this curriculum is</w:t>
      </w:r>
      <w:r>
        <w:t xml:space="preserve"> </w:t>
      </w:r>
      <w:r>
        <w:rPr>
          <w:b/>
          <w:bCs/>
        </w:rPr>
        <w:t xml:space="preserve">concept-first and stack-agnostic</w:t>
      </w:r>
      <w:r>
        <w:t xml:space="preserve"> </w:t>
      </w:r>
      <w:r>
        <w:t xml:space="preserve">— it teaches the durable ideas and only mentions any product, including Shipley’s methodology, as an accent. It is built to be taught as a course, practiced solo, and encoded in an AI layer, all from the same doctrine.</w:t>
      </w:r>
    </w:p>
    <w:bookmarkEnd w:id="28"/>
    <w:bookmarkStart w:id="34" w:name="the-federal-market"/>
    <w:p>
      <w:pPr>
        <w:pStyle w:val="Heading2"/>
      </w:pPr>
      <w:r>
        <w:t xml:space="preserve">The federal market</w:t>
      </w:r>
    </w:p>
    <w:p>
      <w:pPr>
        <w:pStyle w:val="FirstParagraph"/>
      </w:pPr>
      <w:r>
        <w:rPr>
          <w:b/>
          <w:bCs/>
        </w:rPr>
        <w:t xml:space="preserve">What are UEI, CAGE, NAICS, and SAM — and do I need them?</w:t>
      </w:r>
    </w:p>
    <w:p>
      <w:pPr>
        <w:pStyle w:val="BodyText"/>
      </w:pPr>
      <w:r>
        <w:t xml:space="preserve">They are the four identifiers that unlock federal money (</w:t>
      </w:r>
      <w:hyperlink r:id="rId24">
        <w:r>
          <w:rPr>
            <w:rStyle w:val="Hyperlink"/>
          </w:rPr>
          <w:t xml:space="preserve">doctrine/01</w:t>
        </w:r>
      </w:hyperlink>
      <w:r>
        <w:t xml:space="preserve">):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UEI</w:t>
      </w:r>
      <w:r>
        <w:t xml:space="preserve"> </w:t>
      </w:r>
      <w:r>
        <w:t xml:space="preserve">— your 12-character identity in federal systems (free from SAM.gov).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CAGE</w:t>
      </w:r>
      <w:r>
        <w:t xml:space="preserve"> </w:t>
      </w:r>
      <w:r>
        <w:t xml:space="preserve">— your 5-character DoD/NATO identity.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NAICS</w:t>
      </w:r>
      <w:r>
        <w:t xml:space="preserve"> </w:t>
      </w:r>
      <w:r>
        <w:t xml:space="preserve">— the 6-digit code that puts you in an industry bucket and decides size standards and many set-asides.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SAM.gov registration</w:t>
      </w:r>
      <w:r>
        <w:t xml:space="preserve"> </w:t>
      </w:r>
      <w:r>
        <w:t xml:space="preserve">— the master record that says you’re eligible to receive federal money.</w:t>
      </w:r>
    </w:p>
    <w:p>
      <w:pPr>
        <w:pStyle w:val="FirstParagraph"/>
      </w:pPr>
      <w:r>
        <w:t xml:space="preserve">You register once in SAM.gov, get a UEI and CAGE, and choose the NAICS codes that describe your business. Every pursuit after that starts with</w:t>
      </w:r>
      <w:r>
        <w:t xml:space="preserve"> </w:t>
      </w:r>
      <w:r>
        <w:t xml:space="preserve">“</w:t>
      </w:r>
      <w:r>
        <w:t xml:space="preserve">is our SAM record active?</w:t>
      </w:r>
      <w:r>
        <w:t xml:space="preserve">”</w:t>
      </w:r>
    </w:p>
    <w:p>
      <w:pPr>
        <w:pStyle w:val="BodyText"/>
      </w:pPr>
      <w:r>
        <w:rPr>
          <w:b/>
          <w:bCs/>
        </w:rPr>
        <w:t xml:space="preserve">What is a compliance matrix?</w:t>
      </w:r>
    </w:p>
    <w:p>
      <w:pPr>
        <w:pStyle w:val="BodyText"/>
      </w:pPr>
      <w:r>
        <w:t xml:space="preserve">Your own tool (not the agency’s): a table of every requirement (</w:t>
      </w:r>
      <w:r>
        <w:t xml:space="preserve">“</w:t>
      </w:r>
      <w:r>
        <w:t xml:space="preserve">shall</w:t>
      </w:r>
      <w:r>
        <w:t xml:space="preserve">”</w:t>
      </w:r>
      <w:r>
        <w:t xml:space="preserve">) in a solicitation, the section it came from, and where your response satisfies it (</w:t>
      </w:r>
      <w:hyperlink r:id="rId29">
        <w:r>
          <w:rPr>
            <w:rStyle w:val="Hyperlink"/>
          </w:rPr>
          <w:t xml:space="preserve">literacy/how-to-read-an-rfp</w:t>
        </w:r>
      </w:hyperlink>
      <w:r>
        <w:t xml:space="preserve">). It is built during the compliance reading and is the backbone of the review gates — the pink team starts here. The</w:t>
      </w:r>
      <w:r>
        <w:t xml:space="preserve"> </w:t>
      </w:r>
      <w:hyperlink r:id="rId30">
        <w:r>
          <w:rPr>
            <w:rStyle w:val="Hyperlink"/>
          </w:rPr>
          <w:t xml:space="preserve">worked exemplar</w:t>
        </w:r>
      </w:hyperlink>
      <w:r>
        <w:t xml:space="preserve"> </w:t>
      </w:r>
      <w:r>
        <w:t xml:space="preserve">shows one fully built.</w:t>
      </w:r>
    </w:p>
    <w:p>
      <w:pPr>
        <w:pStyle w:val="BodyText"/>
      </w:pPr>
      <w:r>
        <w:rPr>
          <w:b/>
          <w:bCs/>
        </w:rPr>
        <w:t xml:space="preserve">What is pWin, and how do I score a pursuit?</w:t>
      </w:r>
    </w:p>
    <w:p>
      <w:pPr>
        <w:pStyle w:val="BodyText"/>
      </w:pPr>
      <w:r>
        <w:t xml:space="preserve">pWin is your</w:t>
      </w:r>
      <w:r>
        <w:t xml:space="preserve"> </w:t>
      </w:r>
      <w:r>
        <w:rPr>
          <w:b/>
          <w:bCs/>
        </w:rPr>
        <w:t xml:space="preserve">probability of win</w:t>
      </w:r>
      <w:r>
        <w:t xml:space="preserve"> </w:t>
      </w:r>
      <w:r>
        <w:t xml:space="preserve">— an honest, factor-weighted estimate, not a gut feel. The score is</w:t>
      </w:r>
      <w:r>
        <w:t xml:space="preserve"> </w:t>
      </w:r>
      <w:r>
        <w:rPr>
          <w:b/>
          <w:bCs/>
        </w:rPr>
        <w:t xml:space="preserve">pWin × value</w:t>
      </w:r>
      <w:r>
        <w:t xml:space="preserve"> </w:t>
      </w:r>
      <w:r>
        <w:t xml:space="preserve">(</w:t>
      </w:r>
      <w:hyperlink r:id="rId31">
        <w:r>
          <w:rPr>
            <w:rStyle w:val="Hyperlink"/>
          </w:rPr>
          <w:t xml:space="preserve">doctrine/05</w:t>
        </w:r>
      </w:hyperlink>
      <w:r>
        <w:t xml:space="preserve">). You argue each factor with evidence, weight it, add it up, multiply by the expected value, and compare the result to a</w:t>
      </w:r>
      <w:r>
        <w:t xml:space="preserve"> </w:t>
      </w:r>
      <w:r>
        <w:rPr>
          <w:b/>
          <w:bCs/>
        </w:rPr>
        <w:t xml:space="preserve">threshold</w:t>
      </w:r>
      <w:r>
        <w:t xml:space="preserve"> </w:t>
      </w:r>
      <w:r>
        <w:t xml:space="preserve">you set in advance. That’s the arithmetic of the bid/no-bid call.</w:t>
      </w:r>
    </w:p>
    <w:p>
      <w:pPr>
        <w:pStyle w:val="BodyText"/>
      </w:pPr>
      <w:r>
        <w:rPr>
          <w:b/>
          <w:bCs/>
        </w:rPr>
        <w:t xml:space="preserve">How do I get</w:t>
      </w:r>
      <w:r>
        <w:rPr>
          <w:b/>
          <w:bCs/>
        </w:rPr>
        <w:t xml:space="preserve"> </w:t>
      </w:r>
      <w:r>
        <w:rPr>
          <w:b/>
          <w:bCs/>
        </w:rPr>
        <w:t xml:space="preserve">“</w:t>
      </w:r>
      <w:r>
        <w:rPr>
          <w:b/>
          <w:bCs/>
        </w:rPr>
        <w:t xml:space="preserve">certified</w:t>
      </w:r>
      <w:r>
        <w:rPr>
          <w:b/>
          <w:bCs/>
        </w:rPr>
        <w:t xml:space="preserve">”</w:t>
      </w:r>
      <w:r>
        <w:rPr>
          <w:b/>
          <w:bCs/>
        </w:rPr>
        <w:t xml:space="preserve">?</w:t>
      </w:r>
    </w:p>
    <w:p>
      <w:pPr>
        <w:pStyle w:val="BodyText"/>
      </w:pPr>
      <w:r>
        <w:t xml:space="preserve">Two different things get called</w:t>
      </w:r>
      <w:r>
        <w:t xml:space="preserve"> </w:t>
      </w:r>
      <w:r>
        <w:t xml:space="preserve">“</w:t>
      </w:r>
      <w:r>
        <w:t xml:space="preserve">certification</w:t>
      </w:r>
      <w:r>
        <w:t xml:space="preserve">”</w:t>
      </w:r>
      <w:r>
        <w:t xml:space="preserve"> </w:t>
      </w:r>
      <w:r>
        <w:t xml:space="preserve">in this world: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SBA certifications</w:t>
      </w:r>
      <w:r>
        <w:t xml:space="preserve"> </w:t>
      </w:r>
      <w:r>
        <w:t xml:space="preserve">(HUBZone, 8(a), WOSB/VOSB) — obtained from the SBA, not from any course. The registrations (UEI, CAGE, SAM) come from SAM.gov. This curriculum teaches you</w:t>
      </w:r>
      <w:r>
        <w:t xml:space="preserve"> </w:t>
      </w:r>
      <w:r>
        <w:rPr>
          <w:i/>
          <w:iCs/>
        </w:rPr>
        <w:t xml:space="preserve">what they are, why they matter, and how to use them</w:t>
      </w:r>
      <w:r>
        <w:t xml:space="preserve"> </w:t>
      </w:r>
      <w:r>
        <w:t xml:space="preserve">— see the</w:t>
      </w:r>
      <w:r>
        <w:t xml:space="preserve"> </w:t>
      </w:r>
      <w:hyperlink r:id="rId32">
        <w:r>
          <w:rPr>
            <w:rStyle w:val="Hyperlink"/>
          </w:rPr>
          <w:t xml:space="preserve">further reading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Launchpad ladder</w:t>
      </w:r>
      <w:r>
        <w:t xml:space="preserve"> </w:t>
      </w:r>
      <w:r>
        <w:t xml:space="preserve">(L1–L5) — a progression through the doctrine, not a government status. See</w:t>
      </w:r>
      <w:r>
        <w:t xml:space="preserve"> </w:t>
      </w:r>
      <w:hyperlink r:id="rId27">
        <w:r>
          <w:rPr>
            <w:rStyle w:val="Hyperlink"/>
          </w:rPr>
          <w:t xml:space="preserve">onboarding and placement</w:t>
        </w:r>
      </w:hyperlink>
      <w:r>
        <w:t xml:space="preserve"> </w:t>
      </w:r>
      <w:r>
        <w:t xml:space="preserve">to find your level.</w:t>
      </w:r>
    </w:p>
    <w:p>
      <w:pPr>
        <w:pStyle w:val="FirstParagraph"/>
      </w:pPr>
      <w:r>
        <w:rPr>
          <w:b/>
          <w:bCs/>
        </w:rPr>
        <w:t xml:space="preserve">Is this only for small businesses?</w:t>
      </w:r>
    </w:p>
    <w:p>
      <w:pPr>
        <w:pStyle w:val="BodyText"/>
      </w:pPr>
      <w:r>
        <w:t xml:space="preserve">No — the doctrine applies to anyone competing for federal work, from a one-person firm to a large prime. But small-business programs (HUBZone, 8(a), WOSB/VOSB, SBIR/STTR) are a deliberate, statutory part of the market, and a certified small firm competes in a smaller, friendlier pool (</w:t>
      </w:r>
      <w:hyperlink r:id="rId24">
        <w:r>
          <w:rPr>
            <w:rStyle w:val="Hyperlink"/>
          </w:rPr>
          <w:t xml:space="preserve">doctrine/01</w:t>
        </w:r>
      </w:hyperlink>
      <w:r>
        <w:t xml:space="preserve">). The teaching case,</w:t>
      </w:r>
      <w:r>
        <w:t xml:space="preserve"> </w:t>
      </w:r>
      <w:hyperlink r:id="rId33">
        <w:r>
          <w:rPr>
            <w:rStyle w:val="Hyperlink"/>
          </w:rPr>
          <w:t xml:space="preserve">Ravonics</w:t>
        </w:r>
      </w:hyperlink>
      <w:r>
        <w:t xml:space="preserve">, is a HUBZone small business with an STTR research partner.</w:t>
      </w:r>
    </w:p>
    <w:bookmarkEnd w:id="34"/>
    <w:bookmarkStart w:id="42" w:name="learning-path"/>
    <w:p>
      <w:pPr>
        <w:pStyle w:val="Heading2"/>
      </w:pPr>
      <w:r>
        <w:t xml:space="preserve">Learning path</w:t>
      </w:r>
    </w:p>
    <w:p>
      <w:pPr>
        <w:pStyle w:val="FirstParagraph"/>
      </w:pPr>
      <w:r>
        <w:rPr>
          <w:b/>
          <w:bCs/>
        </w:rPr>
        <w:t xml:space="preserve">Where do I start?</w:t>
      </w:r>
    </w:p>
    <w:p>
      <w:pPr>
        <w:pStyle w:val="BodyText"/>
      </w:pPr>
      <w:r>
        <w:t xml:space="preserve">Read the ten doctrine chapters in order (each is short and ends with a self-check — the answers are in the</w:t>
      </w:r>
      <w:r>
        <w:t xml:space="preserve"> </w:t>
      </w:r>
      <w:hyperlink r:id="rId35">
        <w:r>
          <w:rPr>
            <w:rStyle w:val="Hyperlink"/>
          </w:rPr>
          <w:t xml:space="preserve">practice bank</w:t>
        </w:r>
      </w:hyperlink>
      <w:r>
        <w:t xml:space="preserve">), keep the</w:t>
      </w:r>
      <w:r>
        <w:t xml:space="preserve"> </w:t>
      </w:r>
      <w:hyperlink r:id="rId36">
        <w:r>
          <w:rPr>
            <w:rStyle w:val="Hyperlink"/>
          </w:rPr>
          <w:t xml:space="preserve">literacy</w:t>
        </w:r>
      </w:hyperlink>
      <w:r>
        <w:t xml:space="preserve"> </w:t>
      </w:r>
      <w:r>
        <w:t xml:space="preserve">folder open, and read the</w:t>
      </w:r>
      <w:r>
        <w:t xml:space="preserve"> </w:t>
      </w:r>
      <w:hyperlink r:id="rId30">
        <w:r>
          <w:rPr>
            <w:rStyle w:val="Hyperlink"/>
          </w:rPr>
          <w:t xml:space="preserve">worked exemplar</w:t>
        </w:r>
      </w:hyperlink>
      <w:r>
        <w:t xml:space="preserve"> </w:t>
      </w:r>
      <w:r>
        <w:t xml:space="preserve">to see the whole discipline done once. Then follow the</w:t>
      </w:r>
      <w:r>
        <w:t xml:space="preserve"> </w:t>
      </w:r>
      <w:hyperlink r:id="rId37">
        <w:r>
          <w:rPr>
            <w:rStyle w:val="Hyperlink"/>
          </w:rPr>
          <w:t xml:space="preserve">study plan</w:t>
        </w:r>
      </w:hyperlink>
      <w:r>
        <w:t xml:space="preserve"> </w:t>
      </w:r>
      <w:r>
        <w:t xml:space="preserve">that matches who you are, or the</w:t>
      </w:r>
      <w:r>
        <w:t xml:space="preserve"> </w:t>
      </w:r>
      <w:hyperlink r:id="rId27">
        <w:r>
          <w:rPr>
            <w:rStyle w:val="Hyperlink"/>
          </w:rPr>
          <w:t xml:space="preserve">onboarding guide</w:t>
        </w:r>
      </w:hyperlink>
      <w:r>
        <w:t xml:space="preserve"> </w:t>
      </w:r>
      <w:r>
        <w:t xml:space="preserve">to get placed on the Launchpad ladder.</w:t>
      </w:r>
    </w:p>
    <w:p>
      <w:pPr>
        <w:pStyle w:val="BodyText"/>
      </w:pPr>
      <w:r>
        <w:rPr>
          <w:b/>
          <w:bCs/>
        </w:rPr>
        <w:t xml:space="preserve">How long does it take?</w:t>
      </w:r>
    </w:p>
    <w:p>
      <w:pPr>
        <w:pStyle w:val="BodyText"/>
      </w:pPr>
      <w:r>
        <w:t xml:space="preserve">Reading the doctrine takes a few hours. The</w:t>
      </w:r>
      <w:r>
        <w:t xml:space="preserve"> </w:t>
      </w:r>
      <w:hyperlink r:id="rId37">
        <w:r>
          <w:rPr>
            <w:rStyle w:val="Hyperlink"/>
          </w:rPr>
          <w:t xml:space="preserve">study plans</w:t>
        </w:r>
      </w:hyperlink>
      <w:r>
        <w:t xml:space="preserve"> </w:t>
      </w:r>
      <w:r>
        <w:t xml:space="preserve">are paced for the serious learner: ~6 weeks full-time, ~8 weeks at 3–4 hours a week as a professional, ~5 weeks to readiness as a coach. The full college semester is 14 weeks (</w:t>
      </w:r>
      <w:hyperlink r:id="rId38">
        <w:r>
          <w:rPr>
            <w:rStyle w:val="Hyperlink"/>
          </w:rPr>
          <w:t xml:space="preserve">syllabus</w:t>
        </w:r>
      </w:hyperlink>
      <w:r>
        <w:t xml:space="preserve">).</w:t>
      </w:r>
    </w:p>
    <w:p>
      <w:pPr>
        <w:pStyle w:val="BodyText"/>
      </w:pPr>
      <w:r>
        <w:rPr>
          <w:b/>
          <w:bCs/>
        </w:rPr>
        <w:t xml:space="preserve">How is the Launchpad fellowship different from the college course?</w:t>
      </w:r>
    </w:p>
    <w:p>
      <w:pPr>
        <w:pStyle w:val="BodyText"/>
      </w:pPr>
      <w:r>
        <w:t xml:space="preserve">Two doors into the same building. The</w:t>
      </w:r>
      <w:r>
        <w:t xml:space="preserve"> </w:t>
      </w:r>
      <w:r>
        <w:rPr>
          <w:b/>
          <w:bCs/>
        </w:rPr>
        <w:t xml:space="preserve">college course</w:t>
      </w:r>
      <w:r>
        <w:t xml:space="preserve"> </w:t>
      </w:r>
      <w:r>
        <w:t xml:space="preserve">is the semester, graded version with three audience tracks (Strategic Initiative, MBA, MPA). The</w:t>
      </w:r>
      <w:r>
        <w:t xml:space="preserve"> </w:t>
      </w:r>
      <w:r>
        <w:rPr>
          <w:b/>
          <w:bCs/>
        </w:rPr>
        <w:t xml:space="preserve">Launchpad fellowship</w:t>
      </w:r>
      <w:r>
        <w:t xml:space="preserve"> </w:t>
      </w:r>
      <w:r>
        <w:t xml:space="preserve">is the levels-based, cohort version (L1–L5, the Ignition Legacy Track for professionals 50+, The Ascension for executives). Both teach the same doctrine, through the same case (</w:t>
      </w:r>
      <w:hyperlink r:id="rId33">
        <w:r>
          <w:rPr>
            <w:rStyle w:val="Hyperlink"/>
          </w:rPr>
          <w:t xml:space="preserve">Ravonics</w:t>
        </w:r>
      </w:hyperlink>
      <w:r>
        <w:t xml:space="preserve">) and the same practice layer. The crosswalk is in the</w:t>
      </w:r>
      <w:r>
        <w:t xml:space="preserve"> </w:t>
      </w:r>
      <w:hyperlink r:id="rId26">
        <w:r>
          <w:rPr>
            <w:rStyle w:val="Hyperlink"/>
          </w:rPr>
          <w:t xml:space="preserve">align map</w:t>
        </w:r>
      </w:hyperlink>
      <w:r>
        <w:t xml:space="preserve">.</w:t>
      </w:r>
    </w:p>
    <w:p>
      <w:pPr>
        <w:pStyle w:val="BodyText"/>
      </w:pPr>
      <w:r>
        <w:rPr>
          <w:b/>
          <w:bCs/>
        </w:rPr>
        <w:t xml:space="preserve">What’s the capstone?</w:t>
      </w:r>
    </w:p>
    <w:p>
      <w:pPr>
        <w:pStyle w:val="BodyText"/>
      </w:pPr>
      <w:r>
        <w:t xml:space="preserve">The final assessment: you take a real,</w:t>
      </w:r>
      <w:r>
        <w:t xml:space="preserve"> </w:t>
      </w:r>
      <w:r>
        <w:rPr>
          <w:i/>
          <w:iCs/>
        </w:rPr>
        <w:t xml:space="preserve">published and closed</w:t>
      </w:r>
      <w:r>
        <w:t xml:space="preserve"> </w:t>
      </w:r>
      <w:r>
        <w:t xml:space="preserve">solicitation from SAM.gov or Grants.gov and produce the full pursuit package — compliance matrix, strategy reading, ORBITAL, score, gate charter, and a bid/no-bid recommendation — then present and defend it (</w:t>
      </w:r>
      <w:hyperlink r:id="rId39">
        <w:r>
          <w:rPr>
            <w:rStyle w:val="Hyperlink"/>
          </w:rPr>
          <w:t xml:space="preserve">capstone brief</w:t>
        </w:r>
      </w:hyperlink>
      <w:r>
        <w:t xml:space="preserve">). It’s stack-free. The</w:t>
      </w:r>
      <w:r>
        <w:t xml:space="preserve"> </w:t>
      </w:r>
      <w:hyperlink r:id="rId30">
        <w:r>
          <w:rPr>
            <w:rStyle w:val="Hyperlink"/>
          </w:rPr>
          <w:t xml:space="preserve">worked exemplar</w:t>
        </w:r>
      </w:hyperlink>
      <w:r>
        <w:t xml:space="preserve"> </w:t>
      </w:r>
      <w:r>
        <w:t xml:space="preserve">is a complete worked answer to it.</w:t>
      </w:r>
    </w:p>
    <w:p>
      <w:pPr>
        <w:pStyle w:val="BodyText"/>
      </w:pPr>
      <w:r>
        <w:rPr>
          <w:b/>
          <w:bCs/>
        </w:rPr>
        <w:t xml:space="preserve">What if I get stuck?</w:t>
      </w:r>
    </w:p>
    <w:p>
      <w:pPr>
        <w:pStyle w:val="BodyText"/>
      </w:pPr>
      <w:r>
        <w:t xml:space="preserve">The practice layer is built for solo learning: every exercise has an</w:t>
      </w:r>
      <w:r>
        <w:t xml:space="preserve"> </w:t>
      </w:r>
      <w:hyperlink r:id="rId35">
        <w:r>
          <w:rPr>
            <w:rStyle w:val="Hyperlink"/>
          </w:rPr>
          <w:t xml:space="preserve">answer key</w:t>
        </w:r>
      </w:hyperlink>
      <w:r>
        <w:t xml:space="preserve">, and the</w:t>
      </w:r>
      <w:r>
        <w:t xml:space="preserve"> </w:t>
      </w:r>
      <w:hyperlink r:id="rId30">
        <w:r>
          <w:rPr>
            <w:rStyle w:val="Hyperlink"/>
          </w:rPr>
          <w:t xml:space="preserve">worked exemplar</w:t>
        </w:r>
      </w:hyperlink>
      <w:r>
        <w:t xml:space="preserve"> </w:t>
      </w:r>
      <w:r>
        <w:t xml:space="preserve">shows the reasoning at every step. If you’re in a cohort, your facilitator uses the</w:t>
      </w:r>
      <w:r>
        <w:t xml:space="preserve"> </w:t>
      </w:r>
      <w:hyperlink r:id="rId40">
        <w:r>
          <w:rPr>
            <w:rStyle w:val="Hyperlink"/>
          </w:rPr>
          <w:t xml:space="preserve">facilitator playbook</w:t>
        </w:r>
      </w:hyperlink>
      <w:r>
        <w:t xml:space="preserve">. If you’re truly stuck on a concept, re-read the relevant doctrine chapter and use the glossary (</w:t>
      </w:r>
      <w:hyperlink r:id="rId41">
        <w:r>
          <w:rPr>
            <w:rStyle w:val="Hyperlink"/>
          </w:rPr>
          <w:t xml:space="preserve">literacy/glossary</w:t>
        </w:r>
      </w:hyperlink>
      <w:r>
        <w:t xml:space="preserve">).</w:t>
      </w:r>
    </w:p>
    <w:bookmarkEnd w:id="42"/>
    <w:bookmarkStart w:id="45" w:name="careers"/>
    <w:p>
      <w:pPr>
        <w:pStyle w:val="Heading2"/>
      </w:pPr>
      <w:r>
        <w:t xml:space="preserve">Careers</w:t>
      </w:r>
    </w:p>
    <w:p>
      <w:pPr>
        <w:pStyle w:val="FirstParagraph"/>
      </w:pPr>
      <w:r>
        <w:rPr>
          <w:b/>
          <w:bCs/>
        </w:rPr>
        <w:t xml:space="preserve">What jobs does this lead to?</w:t>
      </w:r>
    </w:p>
    <w:p>
      <w:pPr>
        <w:pStyle w:val="BodyText"/>
      </w:pPr>
      <w:r>
        <w:t xml:space="preserve">The doctrine is the foundation of careers in</w:t>
      </w:r>
      <w:r>
        <w:t xml:space="preserve"> </w:t>
      </w:r>
      <w:r>
        <w:rPr>
          <w:b/>
          <w:bCs/>
        </w:rPr>
        <w:t xml:space="preserve">business development and capture management</w:t>
      </w:r>
      <w:r>
        <w:t xml:space="preserve"> </w:t>
      </w:r>
      <w:r>
        <w:t xml:space="preserve">(finding and qualifying federal work),</w:t>
      </w:r>
      <w:r>
        <w:t xml:space="preserve"> </w:t>
      </w:r>
      <w:r>
        <w:rPr>
          <w:b/>
          <w:bCs/>
        </w:rPr>
        <w:t xml:space="preserve">proposal management</w:t>
      </w:r>
      <w:r>
        <w:t xml:space="preserve"> </w:t>
      </w:r>
      <w:r>
        <w:t xml:space="preserve">(designing and producing compliant proposals),</w:t>
      </w:r>
      <w:r>
        <w:t xml:space="preserve"> </w:t>
      </w:r>
      <w:r>
        <w:rPr>
          <w:b/>
          <w:bCs/>
        </w:rPr>
        <w:t xml:space="preserve">grants management</w:t>
      </w:r>
      <w:r>
        <w:t xml:space="preserve"> </w:t>
      </w:r>
      <w:r>
        <w:t xml:space="preserve">(the public side of the same transaction), and</w:t>
      </w:r>
      <w:r>
        <w:t xml:space="preserve"> </w:t>
      </w:r>
      <w:r>
        <w:rPr>
          <w:b/>
          <w:bCs/>
        </w:rPr>
        <w:t xml:space="preserve">public policy / program administration</w:t>
      </w:r>
      <w:r>
        <w:t xml:space="preserve"> </w:t>
      </w:r>
      <w:r>
        <w:t xml:space="preserve">(running the competitions and oversight). The three audience tracks map to those accents: the MBA track is the business analysis, the MPA track is the public side, the Strategic Initiative track is the systems/portfolio view (</w:t>
      </w:r>
      <w:hyperlink r:id="rId43">
        <w:r>
          <w:rPr>
            <w:rStyle w:val="Hyperlink"/>
          </w:rPr>
          <w:t xml:space="preserve">modules/</w:t>
        </w:r>
      </w:hyperlink>
      <w:r>
        <w:t xml:space="preserve">).</w:t>
      </w:r>
    </w:p>
    <w:p>
      <w:pPr>
        <w:pStyle w:val="BodyText"/>
      </w:pPr>
      <w:r>
        <w:rPr>
          <w:b/>
          <w:bCs/>
        </w:rPr>
        <w:t xml:space="preserve">Is this worth it if I’m not planning to work in government?</w:t>
      </w:r>
    </w:p>
    <w:p>
      <w:pPr>
        <w:pStyle w:val="BodyText"/>
      </w:pPr>
      <w:r>
        <w:t xml:space="preserve">Yes. The core skills — reading a solicitation, building a compliance matrix, scoring a decision with pWin × value, structuring a venture with the ORBITAL, running gates — are the same skills used in commercial proposals, foundation grants, sales pipelines, and any serious venture (</w:t>
      </w:r>
      <w:hyperlink r:id="rId44">
        <w:r>
          <w:rPr>
            <w:rStyle w:val="Hyperlink"/>
          </w:rPr>
          <w:t xml:space="preserve">doctrine/03</w:t>
        </w:r>
      </w:hyperlink>
      <w:r>
        <w:t xml:space="preserve">,</w:t>
      </w:r>
      <w:r>
        <w:t xml:space="preserve"> </w:t>
      </w:r>
      <w:hyperlink r:id="rId31">
        <w:r>
          <w:rPr>
            <w:rStyle w:val="Hyperlink"/>
          </w:rPr>
          <w:t xml:space="preserve">doctrine/05</w:t>
        </w:r>
      </w:hyperlink>
      <w:r>
        <w:t xml:space="preserve">,</w:t>
      </w:r>
      <w:r>
        <w:t xml:space="preserve"> </w:t>
      </w:r>
      <w:hyperlink r:id="rId22">
        <w:r>
          <w:rPr>
            <w:rStyle w:val="Hyperlink"/>
          </w:rPr>
          <w:t xml:space="preserve">doctrine/06</w:t>
        </w:r>
      </w:hyperlink>
      <w:r>
        <w:t xml:space="preserve">). The pattern —</w:t>
      </w:r>
      <w:r>
        <w:t xml:space="preserve"> </w:t>
      </w:r>
      <w:r>
        <w:rPr>
          <w:i/>
          <w:iCs/>
        </w:rPr>
        <w:t xml:space="preserve">estimate the probability, estimate the value, set a threshold, argue with evidence</w:t>
      </w:r>
      <w:r>
        <w:t xml:space="preserve"> </w:t>
      </w:r>
      <w:r>
        <w:t xml:space="preserve">— is a general-purpose decision machine.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Still curious? The</w:t>
      </w:r>
      <w:r>
        <w:rPr>
          <w:i/>
          <w:iCs/>
        </w:rPr>
        <w:t xml:space="preserve"> </w:t>
      </w:r>
      <w:hyperlink r:id="rId32">
        <w:r>
          <w:rPr>
            <w:rStyle w:val="Hyperlink"/>
            <w:i/>
            <w:iCs/>
          </w:rPr>
          <w:t xml:space="preserve">further reading</w:t>
        </w:r>
      </w:hyperlink>
      <w:r>
        <w:rPr>
          <w:i/>
          <w:iCs/>
        </w:rPr>
        <w:t xml:space="preserve"> </w:t>
      </w:r>
      <w:r>
        <w:rPr>
          <w:i/>
          <w:iCs/>
        </w:rPr>
        <w:t xml:space="preserve">page lists the official federal sources; the</w:t>
      </w:r>
      <w:r>
        <w:rPr>
          <w:i/>
          <w:iCs/>
        </w:rPr>
        <w:t xml:space="preserve"> </w:t>
      </w:r>
      <w:hyperlink r:id="rId27">
        <w:r>
          <w:rPr>
            <w:rStyle w:val="Hyperlink"/>
            <w:i/>
            <w:iCs/>
          </w:rPr>
          <w:t xml:space="preserve">onboarding guide</w:t>
        </w:r>
      </w:hyperlink>
      <w:r>
        <w:rPr>
          <w:i/>
          <w:iCs/>
        </w:rPr>
        <w:t xml:space="preserve"> </w:t>
      </w:r>
      <w:r>
        <w:rPr>
          <w:i/>
          <w:iCs/>
        </w:rPr>
        <w:t xml:space="preserve">places you; the</w:t>
      </w:r>
      <w:r>
        <w:rPr>
          <w:i/>
          <w:iCs/>
        </w:rPr>
        <w:t xml:space="preserve"> </w:t>
      </w:r>
      <w:hyperlink r:id="rId37">
        <w:r>
          <w:rPr>
            <w:rStyle w:val="Hyperlink"/>
            <w:i/>
            <w:iCs/>
          </w:rPr>
          <w:t xml:space="preserve">study plans</w:t>
        </w:r>
      </w:hyperlink>
      <w:r>
        <w:rPr>
          <w:i/>
          <w:iCs/>
        </w:rPr>
        <w:t xml:space="preserve"> </w:t>
      </w:r>
      <w:r>
        <w:rPr>
          <w:i/>
          <w:iCs/>
        </w:rPr>
        <w:t xml:space="preserve">get you moving.</w:t>
      </w:r>
    </w:p>
    <w:bookmarkEnd w:id="45"/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align/concept-to-system-map.md" TargetMode="External"/><Relationship Id="rId39" Type="http://schemas.openxmlformats.org/officeDocument/2006/relationships/hyperlink" Target="course/capstone-build-an-orbital.md" TargetMode="External"/><Relationship Id="rId3" Type="http://schemas.openxmlformats.org/officeDocument/2006/relationships/settings" Target="settings.xml"/><Relationship Id="rId21" Type="http://schemas.openxmlformats.org/officeDocument/2006/relationships/hyperlink" Target="doctrine/08-tools-change-concepts-dont.md" TargetMode="External"/><Relationship Id="rId47" Type="http://schemas.openxmlformats.org/officeDocument/2006/relationships/customXml" Target="../customXml/item3.xml"/><Relationship Id="rId7" Type="http://schemas.openxmlformats.org/officeDocument/2006/relationships/footnotes" Target="footnotes.xml"/><Relationship Id="rId33" Type="http://schemas.openxmlformats.org/officeDocument/2006/relationships/hyperlink" Target="case-study/ravonics.md" TargetMode="External"/><Relationship Id="rId38" Type="http://schemas.openxmlformats.org/officeDocument/2006/relationships/hyperlink" Target="course/syllabus-semester.md" TargetMode="External"/><Relationship Id="rId25" Type="http://schemas.openxmlformats.org/officeDocument/2006/relationships/hyperlink" Target="literacy/where-the-money-flows.md" TargetMode="External"/><Relationship Id="rId46" Type="http://schemas.openxmlformats.org/officeDocument/2006/relationships/customXml" Target="../customXml/item2.xml"/><Relationship Id="rId2" Type="http://schemas.openxmlformats.org/officeDocument/2006/relationships/styles" Target="styles.xml"/><Relationship Id="rId20" Type="http://schemas.openxmlformats.org/officeDocument/2006/relationships/hyperlink" Target="doctrine/" TargetMode="External"/><Relationship Id="rId41" Type="http://schemas.openxmlformats.org/officeDocument/2006/relationships/hyperlink" Target="literacy/glossary.md" TargetMode="External"/><Relationship Id="rId29" Type="http://schemas.openxmlformats.org/officeDocument/2006/relationships/hyperlink" Target="literacy/how-to-read-an-rfp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24" Type="http://schemas.openxmlformats.org/officeDocument/2006/relationships/hyperlink" Target="doctrine/01-where-the-money-lives.md" TargetMode="External"/><Relationship Id="rId40" Type="http://schemas.openxmlformats.org/officeDocument/2006/relationships/hyperlink" Target="guides/facilitator-playbook.md" TargetMode="External"/><Relationship Id="rId32" Type="http://schemas.openxmlformats.org/officeDocument/2006/relationships/hyperlink" Target="literacy/further-reading.md" TargetMode="External"/><Relationship Id="rId37" Type="http://schemas.openxmlformats.org/officeDocument/2006/relationships/hyperlink" Target="study-plans/" TargetMode="External"/><Relationship Id="rId45" Type="http://schemas.openxmlformats.org/officeDocument/2006/relationships/customXml" Target="../customXml/item1.xml"/><Relationship Id="rId5" Type="http://schemas.openxmlformats.org/officeDocument/2006/relationships/fontTable" Target="fontTable.xml"/><Relationship Id="rId23" Type="http://schemas.openxmlformats.org/officeDocument/2006/relationships/hyperlink" Target="doctrine/07-lifecycle-dream-orbital-world.md" TargetMode="External"/><Relationship Id="rId36" Type="http://schemas.openxmlformats.org/officeDocument/2006/relationships/hyperlink" Target="literacy/" TargetMode="External"/><Relationship Id="rId44" Type="http://schemas.openxmlformats.org/officeDocument/2006/relationships/hyperlink" Target="doctrine/03-the-pursuit-pipeline.md" TargetMode="External"/><Relationship Id="rId31" Type="http://schemas.openxmlformats.org/officeDocument/2006/relationships/hyperlink" Target="doctrine/05-scoring-and-price-to-win.md" TargetMode="External"/><Relationship Id="rId4" Type="http://schemas.openxmlformats.org/officeDocument/2006/relationships/webSettings" Target="webSettings.xml"/><Relationship Id="rId22" Type="http://schemas.openxmlformats.org/officeDocument/2006/relationships/hyperlink" Target="doctrine/06-orbital-business-structure.md" TargetMode="External"/><Relationship Id="rId27" Type="http://schemas.openxmlformats.org/officeDocument/2006/relationships/hyperlink" Target="guides/onboarding-and-placement.md" TargetMode="External"/><Relationship Id="rId43" Type="http://schemas.openxmlformats.org/officeDocument/2006/relationships/hyperlink" Target="modules/" TargetMode="External"/><Relationship Id="rId35" Type="http://schemas.openxmlformats.org/officeDocument/2006/relationships/hyperlink" Target="practice/answer-keys.md" TargetMode="External"/><Relationship Id="rId30" Type="http://schemas.openxmlformats.org/officeDocument/2006/relationships/hyperlink" Target="practice/worked-exemplar-day-in-the-life.md" TargetMode="External"/><Relationship Id="rId8" Type="http://schemas.openxmlformats.org/officeDocument/2006/relationships/comments" Target="comments.xm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align/concept-to-system-map.md" TargetMode="External" /><Relationship Type="http://schemas.openxmlformats.org/officeDocument/2006/relationships/hyperlink" Id="rId33" Target="case-study/ravonics.md" TargetMode="External" /><Relationship Type="http://schemas.openxmlformats.org/officeDocument/2006/relationships/hyperlink" Id="rId39" Target="course/capstone-build-an-orbital.md" TargetMode="External" /><Relationship Type="http://schemas.openxmlformats.org/officeDocument/2006/relationships/hyperlink" Id="rId38" Target="course/syllabus-semester.md" TargetMode="External" /><Relationship Type="http://schemas.openxmlformats.org/officeDocument/2006/relationships/hyperlink" Id="rId20" Target="doctrine/" TargetMode="External" /><Relationship Type="http://schemas.openxmlformats.org/officeDocument/2006/relationships/hyperlink" Id="rId24" Target="doctrine/01-where-the-money-lives.md" TargetMode="External" /><Relationship Type="http://schemas.openxmlformats.org/officeDocument/2006/relationships/hyperlink" Id="rId44" Target="doctrine/03-the-pursuit-pipeline.md" TargetMode="External" /><Relationship Type="http://schemas.openxmlformats.org/officeDocument/2006/relationships/hyperlink" Id="rId31" Target="doctrine/05-scoring-and-price-to-win.md" TargetMode="External" /><Relationship Type="http://schemas.openxmlformats.org/officeDocument/2006/relationships/hyperlink" Id="rId22" Target="doctrine/06-orbital-business-structure.md" TargetMode="External" /><Relationship Type="http://schemas.openxmlformats.org/officeDocument/2006/relationships/hyperlink" Id="rId23" Target="doctrine/07-lifecycle-dream-orbital-world.md" TargetMode="External" /><Relationship Type="http://schemas.openxmlformats.org/officeDocument/2006/relationships/hyperlink" Id="rId21" Target="doctrine/08-tools-change-concepts-dont.md" TargetMode="External" /><Relationship Type="http://schemas.openxmlformats.org/officeDocument/2006/relationships/hyperlink" Id="rId40" Target="guides/facilitator-playbook.md" TargetMode="External" /><Relationship Type="http://schemas.openxmlformats.org/officeDocument/2006/relationships/hyperlink" Id="rId27" Target="guides/onboarding-and-placement.md" TargetMode="External" /><Relationship Type="http://schemas.openxmlformats.org/officeDocument/2006/relationships/hyperlink" Id="rId36" Target="literacy/" TargetMode="External" /><Relationship Type="http://schemas.openxmlformats.org/officeDocument/2006/relationships/hyperlink" Id="rId32" Target="literacy/further-reading.md" TargetMode="External" /><Relationship Type="http://schemas.openxmlformats.org/officeDocument/2006/relationships/hyperlink" Id="rId41" Target="literacy/glossary.md" TargetMode="External" /><Relationship Type="http://schemas.openxmlformats.org/officeDocument/2006/relationships/hyperlink" Id="rId29" Target="literacy/how-to-read-an-rfp.md" TargetMode="External" /><Relationship Type="http://schemas.openxmlformats.org/officeDocument/2006/relationships/hyperlink" Id="rId25" Target="literacy/where-the-money-flows.md" TargetMode="External" /><Relationship Type="http://schemas.openxmlformats.org/officeDocument/2006/relationships/hyperlink" Id="rId43" Target="modules/" TargetMode="External" /><Relationship Type="http://schemas.openxmlformats.org/officeDocument/2006/relationships/hyperlink" Id="rId35" Target="practice/answer-keys.md" TargetMode="External" /><Relationship Type="http://schemas.openxmlformats.org/officeDocument/2006/relationships/hyperlink" Id="rId30" Target="practice/worked-exemplar-day-in-the-life.md" TargetMode="External" /><Relationship Type="http://schemas.openxmlformats.org/officeDocument/2006/relationships/hyperlink" Id="rId37" Target="study-plan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85DA4F09-C840-44EC-8755-8ED19FC23D19}"/>
</file>

<file path=customXml/itemProps2.xml><?xml version="1.0" encoding="utf-8"?>
<ds:datastoreItem xmlns:ds="http://schemas.openxmlformats.org/officeDocument/2006/customXml" ds:itemID="{C8511A19-F1FC-46B4-BD53-EF710338E9B3}"/>
</file>

<file path=customXml/itemProps3.xml><?xml version="1.0" encoding="utf-8"?>
<ds:datastoreItem xmlns:ds="http://schemas.openxmlformats.org/officeDocument/2006/customXml" ds:itemID="{E3E199FB-16E3-47E5-99F5-71DA015CAC2D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2026-08-05T19:48:42Z</dcterms:created>
  <dcterms:modified xsi:type="dcterms:W3CDTF">2026-08-05T19:48:42Z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