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d57aec83f6e3c57aaf7c6e422e5b162f56d51f2"/>
    <w:p>
      <w:pPr>
        <w:pStyle w:val="Heading1"/>
      </w:pPr>
      <w:r>
        <w:t xml:space="preserve">Changelog — What Changed in the Launchpad Sandbox</w:t>
      </w:r>
    </w:p>
    <w:p>
      <w:pPr>
        <w:pStyle w:val="FirstParagraph"/>
      </w:pPr>
      <w:r>
        <w:rPr>
          <w:i/>
          <w:iCs/>
        </w:rPr>
        <w:t xml:space="preserve">The running record of changes to the Launchpad learning space: this curriculum repo (the source of truth) and the Launchpad Sandbox distribution layer (the SharePoint folder where the docs are published). Newest first. If you change the space, add an entry here in the same change.</w:t>
      </w:r>
    </w:p>
    <w:p>
      <w:pPr>
        <w:pStyle w:val="BlockText"/>
      </w:pPr>
      <w:r>
        <w:rPr>
          <w:b/>
          <w:bCs/>
        </w:rPr>
        <w:t xml:space="preserve">How to update this file.</w:t>
      </w:r>
      <w:r>
        <w:t xml:space="preserve"> </w:t>
      </w:r>
      <w:r>
        <w:t xml:space="preserve">Add a new entry at the top under</w:t>
      </w:r>
      <w:r>
        <w:t xml:space="preserve"> </w:t>
      </w:r>
      <w:r>
        <w:rPr>
          <w:rStyle w:val="VerbatimChar"/>
        </w:rPr>
        <w:t xml:space="preserve">## Unreleased</w:t>
      </w:r>
      <w:r>
        <w:t xml:space="preserve"> </w:t>
      </w:r>
      <w:r>
        <w:t xml:space="preserve">(or, if you’re shipping, under a dated heading). Use the template at the bottom. Two rules: (1) one entry per coherent change, dated, with the</w:t>
      </w:r>
      <w:r>
        <w:t xml:space="preserve"> </w:t>
      </w:r>
      <w:r>
        <w:rPr>
          <w:i/>
          <w:iCs/>
        </w:rPr>
        <w:t xml:space="preserve">what and why</w:t>
      </w:r>
      <w:r>
        <w:t xml:space="preserve">; (2) mark which layer changed —</w:t>
      </w:r>
      <w:r>
        <w:t xml:space="preserve"> </w:t>
      </w:r>
      <w:r>
        <w:rPr>
          <w:b/>
          <w:bCs/>
        </w:rPr>
        <w:t xml:space="preserve">repo</w:t>
      </w:r>
      <w:r>
        <w:t xml:space="preserve"> </w:t>
      </w:r>
      <w:r>
        <w:t xml:space="preserve">(this curriculum) or</w:t>
      </w:r>
      <w:r>
        <w:t xml:space="preserve"> </w:t>
      </w:r>
      <w:r>
        <w:rPr>
          <w:b/>
          <w:bCs/>
        </w:rPr>
        <w:t xml:space="preserve">sandbox</w:t>
      </w:r>
      <w:r>
        <w:t xml:space="preserve"> </w:t>
      </w:r>
      <w:r>
        <w:t xml:space="preserve">(the SharePoint distribution layer). Keep the record honest: it is the shared memory of the space.</w:t>
      </w:r>
    </w:p>
    <w:p>
      <w:r>
        <w:pict>
          <v:rect style="width:0;height:1.5pt" o:hralign="center" o:hrstd="t" o:hr="t"/>
        </w:pict>
      </w:r>
    </w:p>
    <w:bookmarkStart w:id="20" w:name="v0.5.1-release-readiness-wave-repo"/>
    <w:p>
      <w:pPr>
        <w:pStyle w:val="Heading2"/>
      </w:pPr>
      <w:r>
        <w:t xml:space="preserve">2026-08-05 — v0.5.1: release-readiness wave (repo)</w:t>
      </w:r>
    </w:p>
    <w:p>
      <w:pPr>
        <w:pStyle w:val="FirstParagraph"/>
      </w:pPr>
      <w:r>
        <w:t xml:space="preserve">A correctness sweep of the reference layer ahead of declaring the curriculum finished.</w:t>
      </w:r>
      <w:r>
        <w:t xml:space="preserve"> </w:t>
      </w:r>
      <w:r>
        <w:rPr>
          <w:b/>
          <w:bCs/>
        </w:rPr>
        <w:t xml:space="preserve">This wave changes no taught content</w:t>
      </w:r>
      <w:r>
        <w:t xml:space="preserve"> </w:t>
      </w:r>
      <w:r>
        <w:t xml:space="preserve">— it fixes stale claims, closes cross-references, and adds an integrity gate.</w:t>
      </w:r>
    </w:p>
    <w:p>
      <w:pPr>
        <w:pStyle w:val="Compact"/>
        <w:numPr>
          <w:ilvl w:val="0"/>
          <w:numId w:val="1001"/>
        </w:numPr>
      </w:pPr>
      <w:r>
        <w:rPr>
          <w:b/>
          <w:bCs/>
        </w:rPr>
        <w:t xml:space="preserve">Competency model corrected</w:t>
      </w:r>
      <w:r>
        <w:t xml:space="preserve"> </w:t>
      </w:r>
      <w:r>
        <w:t xml:space="preserve">—</w:t>
      </w:r>
      <w:r>
        <w:t xml:space="preserve"> </w:t>
      </w:r>
      <w:r>
        <w:rPr>
          <w:rStyle w:val="VerbatimChar"/>
        </w:rPr>
        <w:t xml:space="preserve">research/competency-model.md</w:t>
      </w:r>
      <w:r>
        <w:t xml:space="preserve">: the doctoral advanced modules (C.A.S.E.-adjacent: AI systems, capture management, partnerships) ARE built in</w:t>
      </w:r>
      <w:r>
        <w:t xml:space="preserve"> </w:t>
      </w:r>
      <w:r>
        <w:rPr>
          <w:rStyle w:val="VerbatimChar"/>
        </w:rPr>
        <w:t xml:space="preserve">course/doctoral-advanced/</w:t>
      </w:r>
      <w:r>
        <w:t xml:space="preserve">; the stale</w:t>
      </w:r>
      <w:r>
        <w:t xml:space="preserve"> </w:t>
      </w:r>
      <w:r>
        <w:t xml:space="preserve">“</w:t>
      </w:r>
      <w:r>
        <w:t xml:space="preserve">not built / do not exist</w:t>
      </w:r>
      <w:r>
        <w:t xml:space="preserve">”</w:t>
      </w:r>
      <w:r>
        <w:t xml:space="preserve"> </w:t>
      </w:r>
      <w:r>
        <w:t xml:space="preserve">claims are rewritten, and the D3.7 persuasive-prose row now reflects that prose craft IS taught (DL 302 week 5, GE 640).</w:t>
      </w:r>
    </w:p>
    <w:p>
      <w:pPr>
        <w:pStyle w:val="Compact"/>
        <w:numPr>
          <w:ilvl w:val="0"/>
          <w:numId w:val="1001"/>
        </w:numPr>
      </w:pPr>
      <w:r>
        <w:rPr>
          <w:b/>
          <w:bCs/>
        </w:rPr>
        <w:t xml:space="preserve">Eight→ten doctrine chapters</w:t>
      </w:r>
      <w:r>
        <w:t xml:space="preserve"> </w:t>
      </w:r>
      <w:r>
        <w:t xml:space="preserve">—</w:t>
      </w:r>
      <w:r>
        <w:t xml:space="preserve"> </w:t>
      </w:r>
      <w:r>
        <w:rPr>
          <w:rStyle w:val="VerbatimChar"/>
        </w:rPr>
        <w:t xml:space="preserve">faq.md</w:t>
      </w:r>
      <w:r>
        <w:t xml:space="preserve">,</w:t>
      </w:r>
      <w:r>
        <w:t xml:space="preserve"> </w:t>
      </w:r>
      <w:r>
        <w:rPr>
          <w:rStyle w:val="VerbatimChar"/>
        </w:rPr>
        <w:t xml:space="preserve">study-plans/coach-facilitator.md</w:t>
      </w:r>
      <w:r>
        <w:t xml:space="preserve">,</w:t>
      </w:r>
      <w:r>
        <w:t xml:space="preserve"> </w:t>
      </w:r>
      <w:r>
        <w:rPr>
          <w:rStyle w:val="VerbatimChar"/>
        </w:rPr>
        <w:t xml:space="preserve">research/market-accreditation.md</w:t>
      </w:r>
      <w:r>
        <w:t xml:space="preserve">: doctrine chapter counts corrected to ten.</w:t>
      </w:r>
    </w:p>
    <w:p>
      <w:pPr>
        <w:pStyle w:val="Compact"/>
        <w:numPr>
          <w:ilvl w:val="0"/>
          <w:numId w:val="1001"/>
        </w:numPr>
      </w:pPr>
      <w:r>
        <w:rPr>
          <w:b/>
          <w:bCs/>
        </w:rPr>
        <w:t xml:space="preserve">VERSION pins corrected</w:t>
      </w:r>
      <w:r>
        <w:t xml:space="preserve"> </w:t>
      </w:r>
      <w:r>
        <w:t xml:space="preserve">—</w:t>
      </w:r>
      <w:r>
        <w:t xml:space="preserve"> </w:t>
      </w:r>
      <w:r>
        <w:rPr>
          <w:rStyle w:val="VerbatimChar"/>
        </w:rPr>
        <w:t xml:space="preserve">align/shipley-dna-fusion-map.md</w:t>
      </w:r>
      <w:r>
        <w:t xml:space="preserve"> </w:t>
      </w:r>
      <w:r>
        <w:t xml:space="preserve">Curriculum VERSION row updated to</w:t>
      </w:r>
      <w:r>
        <w:t xml:space="preserve"> </w:t>
      </w:r>
      <w:r>
        <w:rPr>
          <w:rStyle w:val="VerbatimChar"/>
        </w:rPr>
        <w:t xml:space="preserve">0.5.1</w:t>
      </w:r>
      <w:r>
        <w:t xml:space="preserve">.</w:t>
      </w:r>
    </w:p>
    <w:p>
      <w:pPr>
        <w:pStyle w:val="Compact"/>
        <w:numPr>
          <w:ilvl w:val="0"/>
          <w:numId w:val="1001"/>
        </w:numPr>
      </w:pPr>
      <w:r>
        <w:rPr>
          <w:b/>
          <w:bCs/>
        </w:rPr>
        <w:t xml:space="preserve">Capture-plan traceability</w:t>
      </w:r>
      <w:r>
        <w:t xml:space="preserve"> </w:t>
      </w:r>
      <w:r>
        <w:t xml:space="preserve">—</w:t>
      </w:r>
      <w:r>
        <w:t xml:space="preserve"> </w:t>
      </w:r>
      <w:r>
        <w:rPr>
          <w:rStyle w:val="VerbatimChar"/>
        </w:rPr>
        <w:t xml:space="preserve">research/assessment-traceability.md</w:t>
      </w:r>
      <w:r>
        <w:t xml:space="preserve">: D2 capture craft now reflects the GC 690 capstone’s complete capture plan; the residual gap is narrowed to on-the-job engagement-cadence logging.</w:t>
      </w:r>
    </w:p>
    <w:p>
      <w:pPr>
        <w:pStyle w:val="Compact"/>
        <w:numPr>
          <w:ilvl w:val="0"/>
          <w:numId w:val="1001"/>
        </w:numPr>
      </w:pPr>
      <w:r>
        <w:rPr>
          <w:b/>
          <w:bCs/>
        </w:rPr>
        <w:t xml:space="preserve">Doctoral overview cross-links</w:t>
      </w:r>
      <w:r>
        <w:t xml:space="preserve"> </w:t>
      </w:r>
      <w:r>
        <w:t xml:space="preserve">—</w:t>
      </w:r>
      <w:r>
        <w:t xml:space="preserve"> </w:t>
      </w:r>
      <w:r>
        <w:rPr>
          <w:rStyle w:val="VerbatimChar"/>
        </w:rPr>
        <w:t xml:space="preserve">course/doctoral-program-overview.md</w:t>
      </w:r>
      <w:r>
        <w:t xml:space="preserve"> </w:t>
      </w:r>
      <w:r>
        <w:t xml:space="preserve">gains §6.1 linking all three C.A.S.E.-adjacent advanced seminars with a one-line description each.</w:t>
      </w:r>
    </w:p>
    <w:p>
      <w:pPr>
        <w:pStyle w:val="Compact"/>
        <w:numPr>
          <w:ilvl w:val="0"/>
          <w:numId w:val="1001"/>
        </w:numPr>
      </w:pPr>
      <w:r>
        <w:rPr>
          <w:b/>
          <w:bCs/>
        </w:rPr>
        <w:t xml:space="preserve">Module-ladder title</w:t>
      </w:r>
      <w:r>
        <w:t xml:space="preserve"> </w:t>
      </w:r>
      <w:r>
        <w:t xml:space="preserve">—</w:t>
      </w:r>
      <w:r>
        <w:t xml:space="preserve"> </w:t>
      </w:r>
      <w:r>
        <w:rPr>
          <w:rStyle w:val="VerbatimChar"/>
        </w:rPr>
        <w:t xml:space="preserve">modules/README.md</w:t>
      </w:r>
      <w:r>
        <w:t xml:space="preserve"> </w:t>
      </w:r>
      <w:r>
        <w:t xml:space="preserve">title now names all four rungs (…Forever-Learning).</w:t>
      </w:r>
    </w:p>
    <w:p>
      <w:pPr>
        <w:pStyle w:val="Compact"/>
        <w:numPr>
          <w:ilvl w:val="0"/>
          <w:numId w:val="1001"/>
        </w:numPr>
      </w:pPr>
      <w:r>
        <w:rPr>
          <w:b/>
          <w:bCs/>
        </w:rPr>
        <w:t xml:space="preserve">Integrity drift checker</w:t>
      </w:r>
      <w:r>
        <w:t xml:space="preserve"> </w:t>
      </w:r>
      <w:r>
        <w:t xml:space="preserve">— new</w:t>
      </w:r>
      <w:r>
        <w:t xml:space="preserve"> </w:t>
      </w:r>
      <w:r>
        <w:rPr>
          <w:rStyle w:val="VerbatimChar"/>
        </w:rPr>
        <w:t xml:space="preserve">scripts/check-curriculum-integrity.py</w:t>
      </w:r>
      <w:r>
        <w:t xml:space="preserve">: enforces manifest↔file correspondence and VERSION agreement across</w:t>
      </w:r>
      <w:r>
        <w:t xml:space="preserve"> </w:t>
      </w:r>
      <w:r>
        <w:rPr>
          <w:rStyle w:val="VerbatimChar"/>
        </w:rPr>
        <w:t xml:space="preserve">VERSION</w:t>
      </w:r>
      <w:r>
        <w:t xml:space="preserve">,</w:t>
      </w:r>
      <w:r>
        <w:t xml:space="preserve"> </w:t>
      </w:r>
      <w:r>
        <w:rPr>
          <w:rStyle w:val="VerbatimChar"/>
        </w:rPr>
        <w:t xml:space="preserve">manifest.yaml</w:t>
      </w:r>
      <w:r>
        <w:t xml:space="preserve">,</w:t>
      </w:r>
      <w:r>
        <w:t xml:space="preserve"> </w:t>
      </w:r>
      <w:r>
        <w:rPr>
          <w:rStyle w:val="VerbatimChar"/>
        </w:rPr>
        <w:t xml:space="preserve">README.md</w:t>
      </w:r>
      <w:r>
        <w:t xml:space="preserve">, and</w:t>
      </w:r>
      <w:r>
        <w:t xml:space="preserve"> </w:t>
      </w:r>
      <w:r>
        <w:rPr>
          <w:rStyle w:val="VerbatimChar"/>
        </w:rPr>
        <w:t xml:space="preserve">align/shipley-dna-fusion-map.md</w:t>
      </w:r>
      <w:r>
        <w:t xml:space="preserve">; exit 0 = INTEGRITY OK.</w:t>
      </w:r>
    </w:p>
    <w:p>
      <w:pPr>
        <w:pStyle w:val="Compact"/>
        <w:numPr>
          <w:ilvl w:val="0"/>
          <w:numId w:val="1001"/>
        </w:numPr>
      </w:pPr>
      <w:r>
        <w:rPr>
          <w:b/>
          <w:bCs/>
        </w:rPr>
        <w:t xml:space="preserve">Render parity</w:t>
      </w:r>
      <w:r>
        <w:t xml:space="preserve"> </w:t>
      </w:r>
      <w:r>
        <w:t xml:space="preserve">—</w:t>
      </w:r>
      <w:r>
        <w:t xml:space="preserve"> </w:t>
      </w:r>
      <w:r>
        <w:rPr>
          <w:rStyle w:val="VerbatimChar"/>
        </w:rPr>
        <w:t xml:space="preserve">render/build-pdf.sh</w:t>
      </w:r>
      <w:r>
        <w:t xml:space="preserve"> </w:t>
      </w:r>
      <w:r>
        <w:t xml:space="preserve">root set now includes</w:t>
      </w:r>
      <w:r>
        <w:t xml:space="preserve"> </w:t>
      </w:r>
      <w:r>
        <w:rPr>
          <w:rStyle w:val="VerbatimChar"/>
        </w:rPr>
        <w:t xml:space="preserve">CLAUDE.md</w:t>
      </w:r>
      <w:r>
        <w:t xml:space="preserve">, matching</w:t>
      </w:r>
      <w:r>
        <w:t xml:space="preserve"> </w:t>
      </w:r>
      <w:r>
        <w:rPr>
          <w:rStyle w:val="VerbatimChar"/>
        </w:rPr>
        <w:t xml:space="preserve">render/build-docx.sh</w:t>
      </w:r>
      <w:r>
        <w:t xml:space="preserve">.</w:t>
      </w:r>
    </w:p>
    <w:p>
      <w:pPr>
        <w:pStyle w:val="Compact"/>
        <w:numPr>
          <w:ilvl w:val="0"/>
          <w:numId w:val="1001"/>
        </w:numPr>
      </w:pPr>
      <w:r>
        <w:rPr>
          <w:b/>
          <w:bCs/>
        </w:rPr>
        <w:t xml:space="preserve">Distribution runbook</w:t>
      </w:r>
      <w:r>
        <w:t xml:space="preserve"> </w:t>
      </w:r>
      <w:r>
        <w:t xml:space="preserve">— new</w:t>
      </w:r>
      <w:r>
        <w:t xml:space="preserve"> </w:t>
      </w:r>
      <w:r>
        <w:rPr>
          <w:rStyle w:val="VerbatimChar"/>
        </w:rPr>
        <w:t xml:space="preserve">render/README.md</w:t>
      </w:r>
      <w:r>
        <w:t xml:space="preserve"> </w:t>
      </w:r>
      <w:r>
        <w:t xml:space="preserve">documenting render → verify → publish → bump.</w:t>
      </w:r>
    </w:p>
    <w:p>
      <w:pPr>
        <w:pStyle w:val="FirstParagraph"/>
      </w:pPr>
      <w:r>
        <w:t xml:space="preserve">Manifest doc count unchanged at 134 (no new curriculum</w:t>
      </w:r>
      <w:r>
        <w:t xml:space="preserve"> </w:t>
      </w:r>
      <w:r>
        <w:rPr>
          <w:rStyle w:val="VerbatimChar"/>
        </w:rPr>
        <w:t xml:space="preserve">.md</w:t>
      </w:r>
      <w:r>
        <w:t xml:space="preserve"> </w:t>
      </w:r>
      <w:r>
        <w:t xml:space="preserve">added;</w:t>
      </w:r>
      <w:r>
        <w:t xml:space="preserve"> </w:t>
      </w:r>
      <w:r>
        <w:rPr>
          <w:rStyle w:val="VerbatimChar"/>
        </w:rPr>
        <w:t xml:space="preserve">scripts/</w:t>
      </w:r>
      <w:r>
        <w:t xml:space="preserve"> </w:t>
      </w:r>
      <w:r>
        <w:t xml:space="preserve">and</w:t>
      </w:r>
      <w:r>
        <w:t xml:space="preserve"> </w:t>
      </w:r>
      <w:r>
        <w:rPr>
          <w:rStyle w:val="VerbatimChar"/>
        </w:rPr>
        <w:t xml:space="preserve">render/</w:t>
      </w:r>
      <w:r>
        <w:t xml:space="preserve"> </w:t>
      </w:r>
      <w:r>
        <w:t xml:space="preserve">are operationally excluded). VERSION bumped</w:t>
      </w:r>
      <w:r>
        <w:t xml:space="preserve"> </w:t>
      </w:r>
      <w:r>
        <w:rPr>
          <w:rStyle w:val="VerbatimChar"/>
        </w:rPr>
        <w:t xml:space="preserve">0.5.0</w:t>
      </w:r>
      <w:r>
        <w:t xml:space="preserve"> </w:t>
      </w:r>
      <w:r>
        <w:t xml:space="preserve">→</w:t>
      </w:r>
      <w:r>
        <w:t xml:space="preserve"> </w:t>
      </w:r>
      <w:r>
        <w:rPr>
          <w:rStyle w:val="VerbatimChar"/>
        </w:rPr>
        <w:t xml:space="preserve">0.5.1</w:t>
      </w:r>
      <w:r>
        <w:t xml:space="preserve">.</w:t>
      </w:r>
    </w:p>
    <w:bookmarkEnd w:id="20"/>
    <w:bookmarkStart w:id="21" w:name="X4c67f2dd883f4acaf32f8d064b66afddb731d49"/>
    <w:p>
      <w:pPr>
        <w:pStyle w:val="Heading2"/>
      </w:pPr>
      <w:r>
        <w:t xml:space="preserve">2026-08-05 — v0.5.0: the high-rice curriculum wave (repo)</w:t>
      </w:r>
    </w:p>
    <w:p>
      <w:pPr>
        <w:pStyle w:val="FirstParagraph"/>
      </w:pPr>
      <w:r>
        <w:t xml:space="preserve">The curriculum adds the</w:t>
      </w:r>
      <w:r>
        <w:t xml:space="preserve"> </w:t>
      </w:r>
      <w:r>
        <w:rPr>
          <w:b/>
          <w:bCs/>
        </w:rPr>
        <w:t xml:space="preserve">v0.5.0 wave</w:t>
      </w:r>
      <w:r>
        <w:t xml:space="preserve">: eleven launchpad branches integrated into one milestone — agency-by-agency literacy, a real case library, the human × AI collaboration module, two new graduate electives, a company-building module, a career ladder, certification prep, a simulation day, and an inspiration narrative. The Launchpad Sandbox becomes the source of truth for</w:t>
      </w:r>
      <w:r>
        <w:t xml:space="preserve"> </w:t>
      </w:r>
      <w:r>
        <w:rPr>
          <w:b/>
          <w:bCs/>
        </w:rPr>
        <w:t xml:space="preserve">all</w:t>
      </w:r>
      <w:r>
        <w:t xml:space="preserve"> </w:t>
      </w:r>
      <w:r>
        <w:t xml:space="preserve">material: the reference layer (</w:t>
      </w:r>
      <w:r>
        <w:rPr>
          <w:rStyle w:val="VerbatimChar"/>
        </w:rPr>
        <w:t xml:space="preserve">align/</w:t>
      </w:r>
      <w:r>
        <w:t xml:space="preserve">,</w:t>
      </w:r>
      <w:r>
        <w:t xml:space="preserve"> </w:t>
      </w:r>
      <w:r>
        <w:rPr>
          <w:rStyle w:val="VerbatimChar"/>
        </w:rPr>
        <w:t xml:space="preserve">research/</w:t>
      </w:r>
      <w:r>
        <w:t xml:space="preserve">) now renders to</w:t>
      </w:r>
      <w:r>
        <w:t xml:space="preserve"> </w:t>
      </w:r>
      <w:r>
        <w:rPr>
          <w:rStyle w:val="VerbatimChar"/>
        </w:rPr>
        <w:t xml:space="preserve">dist/</w:t>
      </w:r>
      <w:r>
        <w:t xml:space="preserve"> </w:t>
      </w:r>
      <w:r>
        <w:t xml:space="preserve">alongside the taught set.</w:t>
      </w:r>
    </w:p>
    <w:p>
      <w:pPr>
        <w:pStyle w:val="Compact"/>
        <w:numPr>
          <w:ilvl w:val="0"/>
          <w:numId w:val="1002"/>
        </w:numPr>
      </w:pPr>
      <w:r>
        <w:rPr>
          <w:b/>
          <w:bCs/>
        </w:rPr>
        <w:t xml:space="preserve">Agencies library</w:t>
      </w:r>
      <w:r>
        <w:t xml:space="preserve"> </w:t>
      </w:r>
      <w:r>
        <w:t xml:space="preserve">—</w:t>
      </w:r>
      <w:r>
        <w:t xml:space="preserve"> </w:t>
      </w:r>
      <w:r>
        <w:rPr>
          <w:rStyle w:val="VerbatimChar"/>
        </w:rPr>
        <w:t xml:space="preserve">literacy/agencies/</w:t>
      </w:r>
      <w:r>
        <w:t xml:space="preserve">: ten deep-dive profiles (DoD, DHS, DOE, GSA, NASA, NIH, SBIR/STTR, State/USAID/civic, VA + index) mapping each buyer to the doctrine and the course.</w:t>
      </w:r>
    </w:p>
    <w:p>
      <w:pPr>
        <w:pStyle w:val="Compact"/>
        <w:numPr>
          <w:ilvl w:val="0"/>
          <w:numId w:val="1002"/>
        </w:numPr>
      </w:pPr>
      <w:r>
        <w:rPr>
          <w:b/>
          <w:bCs/>
        </w:rPr>
        <w:t xml:space="preserve">Case library</w:t>
      </w:r>
      <w:r>
        <w:t xml:space="preserve"> </w:t>
      </w:r>
      <w:r>
        <w:t xml:space="preserve">—</w:t>
      </w:r>
      <w:r>
        <w:t xml:space="preserve"> </w:t>
      </w:r>
      <w:r>
        <w:rPr>
          <w:rStyle w:val="VerbatimChar"/>
        </w:rPr>
        <w:t xml:space="preserve">case-library/</w:t>
      </w:r>
      <w:r>
        <w:t xml:space="preserve">: four anonymized real-feeling win/loss cases (compliance matrix, price band, teaming, ghost theme) + index.</w:t>
      </w:r>
    </w:p>
    <w:p>
      <w:pPr>
        <w:pStyle w:val="Compact"/>
        <w:numPr>
          <w:ilvl w:val="0"/>
          <w:numId w:val="1002"/>
        </w:numPr>
      </w:pPr>
      <w:r>
        <w:rPr>
          <w:b/>
          <w:bCs/>
        </w:rPr>
        <w:t xml:space="preserve">Human × AI collaboration</w:t>
      </w:r>
      <w:r>
        <w:t xml:space="preserve"> </w:t>
      </w:r>
      <w:r>
        <w:t xml:space="preserve">—</w:t>
      </w:r>
      <w:r>
        <w:t xml:space="preserve"> </w:t>
      </w:r>
      <w:r>
        <w:rPr>
          <w:rStyle w:val="VerbatimChar"/>
        </w:rPr>
        <w:t xml:space="preserve">modules/human-ai-collaboration.md</w:t>
      </w:r>
      <w:r>
        <w:t xml:space="preserve"> </w:t>
      </w:r>
      <w:r>
        <w:t xml:space="preserve">+</w:t>
      </w:r>
      <w:r>
        <w:t xml:space="preserve"> </w:t>
      </w:r>
      <w:r>
        <w:rPr>
          <w:rStyle w:val="VerbatimChar"/>
        </w:rPr>
        <w:t xml:space="preserve">practice/human-ai-drills.md</w:t>
      </w:r>
      <w:r>
        <w:t xml:space="preserve">: the taught realization of how-the-machine-learns — briefing the machine, reviewing its output, logging overrides, running the Dream Gate as a two-operator team.</w:t>
      </w:r>
    </w:p>
    <w:p>
      <w:pPr>
        <w:pStyle w:val="Compact"/>
        <w:numPr>
          <w:ilvl w:val="0"/>
          <w:numId w:val="1002"/>
        </w:numPr>
      </w:pPr>
      <w:r>
        <w:rPr>
          <w:b/>
          <w:bCs/>
        </w:rPr>
        <w:t xml:space="preserve">Graduate electives</w:t>
      </w:r>
      <w:r>
        <w:t xml:space="preserve"> </w:t>
      </w:r>
      <w:r>
        <w:t xml:space="preserve">—</w:t>
      </w:r>
      <w:r>
        <w:t xml:space="preserve"> </w:t>
      </w:r>
      <w:r>
        <w:rPr>
          <w:rStyle w:val="VerbatimChar"/>
        </w:rPr>
        <w:t xml:space="preserve">modules/graduate/pipeline-economics.md</w:t>
      </w:r>
      <w:r>
        <w:t xml:space="preserve"> </w:t>
      </w:r>
      <w:r>
        <w:t xml:space="preserve">(GE 650, pipeline &amp; portfolio economics) and</w:t>
      </w:r>
      <w:r>
        <w:t xml:space="preserve"> </w:t>
      </w:r>
      <w:r>
        <w:rPr>
          <w:rStyle w:val="VerbatimChar"/>
        </w:rPr>
        <w:t xml:space="preserve">modules/graduate/elective-orals-coaching.md</w:t>
      </w:r>
      <w:r>
        <w:t xml:space="preserve"> </w:t>
      </w:r>
      <w:r>
        <w:t xml:space="preserve">(GE 651, orals coaching &amp; presentation discipline), folded into the graduate program overview and sequence.</w:t>
      </w:r>
    </w:p>
    <w:p>
      <w:pPr>
        <w:pStyle w:val="Compact"/>
        <w:numPr>
          <w:ilvl w:val="0"/>
          <w:numId w:val="1002"/>
        </w:numPr>
      </w:pPr>
      <w:r>
        <w:rPr>
          <w:b/>
          <w:bCs/>
        </w:rPr>
        <w:t xml:space="preserve">Company building</w:t>
      </w:r>
      <w:r>
        <w:t xml:space="preserve"> </w:t>
      </w:r>
      <w:r>
        <w:t xml:space="preserve">—</w:t>
      </w:r>
      <w:r>
        <w:t xml:space="preserve"> </w:t>
      </w:r>
      <w:r>
        <w:rPr>
          <w:rStyle w:val="VerbatimChar"/>
        </w:rPr>
        <w:t xml:space="preserve">modules/company-building.md</w:t>
      </w:r>
      <w:r>
        <w:t xml:space="preserve"> </w:t>
      </w:r>
      <w:r>
        <w:t xml:space="preserve">+</w:t>
      </w:r>
      <w:r>
        <w:t xml:space="preserve"> </w:t>
      </w:r>
      <w:r>
        <w:rPr>
          <w:rStyle w:val="VerbatimChar"/>
        </w:rPr>
        <w:t xml:space="preserve">practice/company-launch-sprint.md</w:t>
      </w:r>
      <w:r>
        <w:t xml:space="preserve"> </w:t>
      </w:r>
      <w:r>
        <w:t xml:space="preserve">(10-step launch sprint) +</w:t>
      </w:r>
      <w:r>
        <w:t xml:space="preserve"> </w:t>
      </w:r>
      <w:r>
        <w:rPr>
          <w:rStyle w:val="VerbatimChar"/>
        </w:rPr>
        <w:t xml:space="preserve">guides/first-30-days-govcon-bd.md</w:t>
      </w:r>
      <w:r>
        <w:t xml:space="preserve">.</w:t>
      </w:r>
    </w:p>
    <w:p>
      <w:pPr>
        <w:pStyle w:val="Compact"/>
        <w:numPr>
          <w:ilvl w:val="0"/>
          <w:numId w:val="1002"/>
        </w:numPr>
      </w:pPr>
      <w:r>
        <w:rPr>
          <w:b/>
          <w:bCs/>
        </w:rPr>
        <w:t xml:space="preserve">Career + inspiration</w:t>
      </w:r>
      <w:r>
        <w:t xml:space="preserve"> </w:t>
      </w:r>
      <w:r>
        <w:t xml:space="preserve">—</w:t>
      </w:r>
      <w:r>
        <w:t xml:space="preserve"> </w:t>
      </w:r>
      <w:r>
        <w:rPr>
          <w:rStyle w:val="VerbatimChar"/>
        </w:rPr>
        <w:t xml:space="preserve">literacy/credential-ladder.md</w:t>
      </w:r>
      <w:r>
        <w:t xml:space="preserve">,</w:t>
      </w:r>
      <w:r>
        <w:t xml:space="preserve"> </w:t>
      </w:r>
      <w:r>
        <w:rPr>
          <w:rStyle w:val="VerbatimChar"/>
        </w:rPr>
        <w:t xml:space="preserve">literacy/why-govcon-matters.md</w:t>
      </w:r>
      <w:r>
        <w:t xml:space="preserve">,</w:t>
      </w:r>
      <w:r>
        <w:t xml:space="preserve"> </w:t>
      </w:r>
      <w:r>
        <w:rPr>
          <w:rStyle w:val="VerbatimChar"/>
        </w:rPr>
        <w:t xml:space="preserve">literacy/capability-statement.md</w:t>
      </w:r>
      <w:r>
        <w:t xml:space="preserve">,</w:t>
      </w:r>
      <w:r>
        <w:t xml:space="preserve"> </w:t>
      </w:r>
      <w:r>
        <w:rPr>
          <w:rStyle w:val="VerbatimChar"/>
        </w:rPr>
        <w:t xml:space="preserve">literacy/certification-prep-companion.md</w:t>
      </w:r>
      <w:r>
        <w:t xml:space="preserve">,</w:t>
      </w:r>
      <w:r>
        <w:t xml:space="preserve"> </w:t>
      </w:r>
      <w:r>
        <w:rPr>
          <w:rStyle w:val="VerbatimChar"/>
        </w:rPr>
        <w:t xml:space="preserve">guides/simulation-day.md</w:t>
      </w:r>
      <w:r>
        <w:t xml:space="preserve"> </w:t>
      </w:r>
      <w:r>
        <w:t xml:space="preserve">(portfolio wargame).</w:t>
      </w:r>
    </w:p>
    <w:p>
      <w:pPr>
        <w:pStyle w:val="Compact"/>
        <w:numPr>
          <w:ilvl w:val="0"/>
          <w:numId w:val="1002"/>
        </w:numPr>
      </w:pPr>
      <w:r>
        <w:rPr>
          <w:b/>
          <w:bCs/>
        </w:rPr>
        <w:t xml:space="preserve">Practice layer extension</w:t>
      </w:r>
      <w:r>
        <w:t xml:space="preserve"> </w:t>
      </w:r>
      <w:r>
        <w:t xml:space="preserve">—</w:t>
      </w:r>
      <w:r>
        <w:t xml:space="preserve"> </w:t>
      </w:r>
      <w:r>
        <w:rPr>
          <w:rStyle w:val="VerbatimChar"/>
        </w:rPr>
        <w:t xml:space="preserve">practice/challenges/</w:t>
      </w:r>
      <w:r>
        <w:t xml:space="preserve"> </w:t>
      </w:r>
      <w:r>
        <w:t xml:space="preserve">grows to</w:t>
      </w:r>
      <w:r>
        <w:t xml:space="preserve"> </w:t>
      </w:r>
      <w:r>
        <w:rPr>
          <w:b/>
          <w:bCs/>
        </w:rPr>
        <w:t xml:space="preserve">twenty-six</w:t>
      </w:r>
      <w:r>
        <w:t xml:space="preserve"> </w:t>
      </w:r>
      <w:r>
        <w:t xml:space="preserve">problem statements (CH-23 AI accountability</w:t>
      </w:r>
      <w:r>
        <w:t xml:space="preserve"> </w:t>
      </w:r>
      <w:r>
        <w:t xml:space="preserve">“</w:t>
      </w:r>
      <w:r>
        <w:t xml:space="preserve">The Agent’s 0.62</w:t>
      </w:r>
      <w:r>
        <w:t xml:space="preserve">”</w:t>
      </w:r>
      <w:r>
        <w:t xml:space="preserve">, CH-24</w:t>
      </w:r>
      <w:r>
        <w:t xml:space="preserve"> </w:t>
      </w:r>
      <w:r>
        <w:t xml:space="preserve">“</w:t>
      </w:r>
      <w:r>
        <w:t xml:space="preserve">The Ghost Pass That Missed the Collision</w:t>
      </w:r>
      <w:r>
        <w:t xml:space="preserve">”</w:t>
      </w:r>
      <w:r>
        <w:t xml:space="preserve">, CH-25 orals rehearsal</w:t>
      </w:r>
      <w:r>
        <w:t xml:space="preserve"> </w:t>
      </w:r>
      <w:r>
        <w:t xml:space="preserve">“</w:t>
      </w:r>
      <w:r>
        <w:t xml:space="preserve">The Rehearsal That Met the Hostile Room</w:t>
      </w:r>
      <w:r>
        <w:t xml:space="preserve">”</w:t>
      </w:r>
      <w:r>
        <w:t xml:space="preserve">, CH-26</w:t>
      </w:r>
      <w:r>
        <w:t xml:space="preserve"> </w:t>
      </w:r>
      <w:r>
        <w:t xml:space="preserve">“</w:t>
      </w:r>
      <w:r>
        <w:t xml:space="preserve">The Pipeline Under the Budget Ceiling</w:t>
      </w:r>
      <w:r>
        <w:t xml:space="preserve">”</w:t>
      </w:r>
      <w:r>
        <w:t xml:space="preserve">); answer keys and at-a-glance index updated; module pointers re-pointed (orals → CH-25, human-AI → CH-23/CH-24).</w:t>
      </w:r>
    </w:p>
    <w:p>
      <w:pPr>
        <w:pStyle w:val="Compact"/>
        <w:numPr>
          <w:ilvl w:val="0"/>
          <w:numId w:val="1002"/>
        </w:numPr>
      </w:pPr>
      <w:r>
        <w:rPr>
          <w:b/>
          <w:bCs/>
        </w:rPr>
        <w:t xml:space="preserve">Doctoral advanced</w:t>
      </w:r>
      <w:r>
        <w:t xml:space="preserve"> </w:t>
      </w:r>
      <w:r>
        <w:t xml:space="preserve">—</w:t>
      </w:r>
      <w:r>
        <w:t xml:space="preserve"> </w:t>
      </w:r>
      <w:r>
        <w:rPr>
          <w:rStyle w:val="VerbatimChar"/>
        </w:rPr>
        <w:t xml:space="preserve">course/doctoral-advanced/</w:t>
      </w:r>
      <w:r>
        <w:t xml:space="preserve">: three research-object seminars (AI systems, advanced capture management, partnerships &amp; ecosystems).</w:t>
      </w:r>
    </w:p>
    <w:p>
      <w:pPr>
        <w:pStyle w:val="Compact"/>
        <w:numPr>
          <w:ilvl w:val="0"/>
          <w:numId w:val="1002"/>
        </w:numPr>
      </w:pPr>
      <w:r>
        <w:rPr>
          <w:b/>
          <w:bCs/>
        </w:rPr>
        <w:t xml:space="preserve">Assessment traceability</w:t>
      </w:r>
      <w:r>
        <w:t xml:space="preserve"> </w:t>
      </w:r>
      <w:r>
        <w:t xml:space="preserve">—</w:t>
      </w:r>
      <w:r>
        <w:t xml:space="preserve"> </w:t>
      </w:r>
      <w:r>
        <w:rPr>
          <w:rStyle w:val="VerbatimChar"/>
        </w:rPr>
        <w:t xml:space="preserve">research/assessment-traceability.md</w:t>
      </w:r>
      <w:r>
        <w:t xml:space="preserve">: graded artifact → competency-model coverage map.</w:t>
      </w:r>
    </w:p>
    <w:p>
      <w:pPr>
        <w:pStyle w:val="Compact"/>
        <w:numPr>
          <w:ilvl w:val="0"/>
          <w:numId w:val="1002"/>
        </w:numPr>
      </w:pPr>
      <w:r>
        <w:rPr>
          <w:b/>
          <w:bCs/>
        </w:rPr>
        <w:t xml:space="preserve">Registry + render</w:t>
      </w:r>
      <w:r>
        <w:t xml:space="preserve"> </w:t>
      </w:r>
      <w:r>
        <w:t xml:space="preserve">—</w:t>
      </w:r>
      <w:r>
        <w:t xml:space="preserve"> </w:t>
      </w:r>
      <w:r>
        <w:rPr>
          <w:rStyle w:val="VerbatimChar"/>
        </w:rPr>
        <w:t xml:space="preserve">manifest.yaml</w:t>
      </w:r>
      <w:r>
        <w:t xml:space="preserve"> </w:t>
      </w:r>
      <w:r>
        <w:t xml:space="preserve">registers all 31 new docs (no new audience values); VERSION bumped</w:t>
      </w:r>
      <w:r>
        <w:t xml:space="preserve"> </w:t>
      </w:r>
      <w:r>
        <w:rPr>
          <w:rStyle w:val="VerbatimChar"/>
        </w:rPr>
        <w:t xml:space="preserve">0.4.0</w:t>
      </w:r>
      <w:r>
        <w:t xml:space="preserve"> </w:t>
      </w:r>
      <w:r>
        <w:t xml:space="preserve">→</w:t>
      </w:r>
      <w:r>
        <w:t xml:space="preserve"> </w:t>
      </w:r>
      <w:r>
        <w:rPr>
          <w:rStyle w:val="VerbatimChar"/>
        </w:rPr>
        <w:t xml:space="preserve">0.5.0</w:t>
      </w:r>
      <w:r>
        <w:t xml:space="preserve">.</w:t>
      </w:r>
      <w:r>
        <w:t xml:space="preserve"> </w:t>
      </w:r>
      <w:r>
        <w:rPr>
          <w:rStyle w:val="VerbatimChar"/>
        </w:rPr>
        <w:t xml:space="preserve">render/build-docx.sh</w:t>
      </w:r>
      <w:r>
        <w:t xml:space="preserve"> </w:t>
      </w:r>
      <w:r>
        <w:t xml:space="preserve">and</w:t>
      </w:r>
      <w:r>
        <w:t xml:space="preserve"> </w:t>
      </w:r>
      <w:r>
        <w:rPr>
          <w:rStyle w:val="VerbatimChar"/>
        </w:rPr>
        <w:t xml:space="preserve">render/build-pdf.sh</w:t>
      </w:r>
      <w:r>
        <w:t xml:space="preserve"> </w:t>
      </w:r>
      <w:r>
        <w:t xml:space="preserve">add</w:t>
      </w:r>
      <w:r>
        <w:t xml:space="preserve"> </w:t>
      </w:r>
      <w:r>
        <w:rPr>
          <w:rStyle w:val="VerbatimChar"/>
        </w:rPr>
        <w:t xml:space="preserve">case-library/</w:t>
      </w:r>
      <w:r>
        <w:t xml:space="preserve"> </w:t>
      </w:r>
      <w:r>
        <w:t xml:space="preserve">to the taught set and</w:t>
      </w:r>
      <w:r>
        <w:t xml:space="preserve"> </w:t>
      </w:r>
      <w:r>
        <w:rPr>
          <w:rStyle w:val="VerbatimChar"/>
        </w:rPr>
        <w:t xml:space="preserve">align/</w:t>
      </w:r>
      <w:r>
        <w:t xml:space="preserve"> </w:t>
      </w:r>
      <w:r>
        <w:t xml:space="preserve">+</w:t>
      </w:r>
      <w:r>
        <w:t xml:space="preserve"> </w:t>
      </w:r>
      <w:r>
        <w:rPr>
          <w:rStyle w:val="VerbatimChar"/>
        </w:rPr>
        <w:t xml:space="preserve">research/</w:t>
      </w:r>
      <w:r>
        <w:t xml:space="preserve"> </w:t>
      </w:r>
      <w:r>
        <w:t xml:space="preserve">as a clearly-separated</w:t>
      </w:r>
      <w:r>
        <w:t xml:space="preserve"> </w:t>
      </w:r>
      <w:r>
        <w:rPr>
          <w:b/>
          <w:bCs/>
        </w:rPr>
        <w:t xml:space="preserve">reference layer</w:t>
      </w:r>
      <w:r>
        <w:t xml:space="preserve"> </w:t>
      </w:r>
      <w:r>
        <w:t xml:space="preserve">that also renders to</w:t>
      </w:r>
      <w:r>
        <w:t xml:space="preserve"> </w:t>
      </w:r>
      <w:r>
        <w:rPr>
          <w:rStyle w:val="VerbatimChar"/>
        </w:rPr>
        <w:t xml:space="preserve">dist/</w:t>
      </w:r>
      <w:r>
        <w:t xml:space="preserve">.</w:t>
      </w:r>
    </w:p>
    <w:p>
      <w:pPr>
        <w:pStyle w:val="FirstParagraph"/>
      </w:pPr>
      <w:r>
        <w:t xml:space="preserve">VERSION bumped</w:t>
      </w:r>
      <w:r>
        <w:t xml:space="preserve"> </w:t>
      </w:r>
      <w:r>
        <w:rPr>
          <w:rStyle w:val="VerbatimChar"/>
        </w:rPr>
        <w:t xml:space="preserve">0.4.0</w:t>
      </w:r>
      <w:r>
        <w:t xml:space="preserve"> </w:t>
      </w:r>
      <w:r>
        <w:t xml:space="preserve">→</w:t>
      </w:r>
      <w:r>
        <w:t xml:space="preserve"> </w:t>
      </w:r>
      <w:r>
        <w:rPr>
          <w:rStyle w:val="VerbatimChar"/>
        </w:rPr>
        <w:t xml:space="preserve">0.5.0</w:t>
      </w:r>
      <w:r>
        <w:t xml:space="preserve">.</w:t>
      </w:r>
    </w:p>
    <w:bookmarkEnd w:id="21"/>
    <w:bookmarkStart w:id="22" w:name="X664463ed27e98c506c35ea46215ed6141bd3f77"/>
    <w:p>
      <w:pPr>
        <w:pStyle w:val="Heading2"/>
      </w:pPr>
      <w:r>
        <w:t xml:space="preserve">2026-08-05 — v0.4.0: the full Shipley × Dream DNA fusion wave (repo)</w:t>
      </w:r>
    </w:p>
    <w:p>
      <w:pPr>
        <w:pStyle w:val="FirstParagraph"/>
      </w:pPr>
      <w:r>
        <w:t xml:space="preserve">The curriculum completes the Launchpad v0.4.0 wave: the</w:t>
      </w:r>
      <w:r>
        <w:t xml:space="preserve"> </w:t>
      </w:r>
      <w:r>
        <w:rPr>
          <w:b/>
          <w:bCs/>
        </w:rPr>
        <w:t xml:space="preserve">Shipley × Dream DNA fusion layer</w:t>
      </w:r>
      <w:r>
        <w:t xml:space="preserve">, a</w:t>
      </w:r>
      <w:r>
        <w:t xml:space="preserve"> </w:t>
      </w:r>
      <w:r>
        <w:rPr>
          <w:b/>
          <w:bCs/>
        </w:rPr>
        <w:t xml:space="preserve">capstone and challenge practice layer</w:t>
      </w:r>
      <w:r>
        <w:t xml:space="preserve">, a fourth</w:t>
      </w:r>
      <w:r>
        <w:t xml:space="preserve"> </w:t>
      </w:r>
      <w:r>
        <w:rPr>
          <w:b/>
          <w:bCs/>
        </w:rPr>
        <w:t xml:space="preserve">forever-learning tier</w:t>
      </w:r>
      <w:r>
        <w:t xml:space="preserve">, a DNA-surfacing literacy page, posture fixes from the survey, and the canonical agent operating contract. This is the v0.4.0 milestone of the Launchpad curriculum build.</w:t>
      </w:r>
    </w:p>
    <w:p>
      <w:pPr>
        <w:pStyle w:val="Compact"/>
        <w:numPr>
          <w:ilvl w:val="0"/>
          <w:numId w:val="1003"/>
        </w:numPr>
      </w:pPr>
      <w:r>
        <w:rPr>
          <w:b/>
          <w:bCs/>
        </w:rPr>
        <w:t xml:space="preserve">AGENTS.md</w:t>
      </w:r>
      <w:r>
        <w:t xml:space="preserve"> </w:t>
      </w:r>
      <w:r>
        <w:t xml:space="preserve">— the canonical 52-line cross-tool agent operating contract (root), now rendered to</w:t>
      </w:r>
      <w:r>
        <w:t xml:space="preserve"> </w:t>
      </w:r>
      <w:r>
        <w:rPr>
          <w:rStyle w:val="VerbatimChar"/>
        </w:rPr>
        <w:t xml:space="preserve">dist/</w:t>
      </w:r>
      <w:r>
        <w:t xml:space="preserve"> </w:t>
      </w:r>
      <w:r>
        <w:t xml:space="preserve">alongside README/CLAUDE.</w:t>
      </w:r>
    </w:p>
    <w:p>
      <w:pPr>
        <w:pStyle w:val="Compact"/>
        <w:numPr>
          <w:ilvl w:val="0"/>
          <w:numId w:val="1003"/>
        </w:numPr>
      </w:pPr>
      <w:r>
        <w:rPr>
          <w:b/>
          <w:bCs/>
        </w:rPr>
        <w:t xml:space="preserve">Shipley × Dream DNA fusion layer</w:t>
      </w:r>
      <w:r>
        <w:t xml:space="preserve"> </w:t>
      </w:r>
      <w:r>
        <w:t xml:space="preserve">—</w:t>
      </w:r>
      <w:r>
        <w:t xml:space="preserve"> </w:t>
      </w:r>
      <w:r>
        <w:rPr>
          <w:rStyle w:val="VerbatimChar"/>
        </w:rPr>
        <w:t xml:space="preserve">align/shipley-dna-fusion-map.md</w:t>
      </w:r>
      <w:r>
        <w:t xml:space="preserve"> </w:t>
      </w:r>
      <w:r>
        <w:t xml:space="preserve">(every canon discipline and gate traced canon → DNA artifact → curriculum home),</w:t>
      </w:r>
      <w:r>
        <w:t xml:space="preserve"> </w:t>
      </w:r>
      <w:r>
        <w:rPr>
          <w:rStyle w:val="VerbatimChar"/>
        </w:rPr>
        <w:t xml:space="preserve">align/dna-corpus-full-index.md</w:t>
      </w:r>
      <w:r>
        <w:t xml:space="preserve"> </w:t>
      </w:r>
      <w:r>
        <w:t xml:space="preserve">(full human-readable DNA index, gaps flagged),</w:t>
      </w:r>
      <w:r>
        <w:t xml:space="preserve"> </w:t>
      </w:r>
      <w:r>
        <w:rPr>
          <w:rStyle w:val="VerbatimChar"/>
        </w:rPr>
        <w:t xml:space="preserve">align/shipley-book-canon.md</w:t>
      </w:r>
      <w:r>
        <w:t xml:space="preserve"> </w:t>
      </w:r>
      <w:r>
        <w:t xml:space="preserve">(authoritative-source index). All pinned to DNA</w:t>
      </w:r>
      <w:r>
        <w:t xml:space="preserve"> </w:t>
      </w:r>
      <w:r>
        <w:rPr>
          <w:rStyle w:val="VerbatimChar"/>
        </w:rPr>
        <w:t xml:space="preserve">v0.18.2</w:t>
      </w:r>
      <w:r>
        <w:t xml:space="preserve"> </w:t>
      </w:r>
      <w:r>
        <w:t xml:space="preserve">and cross-referenced from</w:t>
      </w:r>
      <w:r>
        <w:t xml:space="preserve"> </w:t>
      </w:r>
      <w:r>
        <w:rPr>
          <w:rStyle w:val="VerbatimChar"/>
        </w:rPr>
        <w:t xml:space="preserve">align/concept-to-system-map.md</w:t>
      </w:r>
      <w:r>
        <w:t xml:space="preserve">.</w:t>
      </w:r>
    </w:p>
    <w:p>
      <w:pPr>
        <w:pStyle w:val="Compact"/>
        <w:numPr>
          <w:ilvl w:val="0"/>
          <w:numId w:val="1003"/>
        </w:numPr>
      </w:pPr>
      <w:r>
        <w:rPr>
          <w:b/>
          <w:bCs/>
        </w:rPr>
        <w:t xml:space="preserve">Capstones</w:t>
      </w:r>
      <w:r>
        <w:t xml:space="preserve"> </w:t>
      </w:r>
      <w:r>
        <w:t xml:space="preserve">—</w:t>
      </w:r>
      <w:r>
        <w:t xml:space="preserve"> </w:t>
      </w:r>
      <w:r>
        <w:rPr>
          <w:rStyle w:val="VerbatimChar"/>
        </w:rPr>
        <w:t xml:space="preserve">practice/capstones/</w:t>
      </w:r>
      <w:r>
        <w:t xml:space="preserve">: sample program + a worked model capstone for every rung of the ladder (undergraduate pursuit, graduate capture engagement, doctoral research design, lifetime portfolio arc).</w:t>
      </w:r>
    </w:p>
    <w:p>
      <w:pPr>
        <w:pStyle w:val="Compact"/>
        <w:numPr>
          <w:ilvl w:val="0"/>
          <w:numId w:val="1003"/>
        </w:numPr>
      </w:pPr>
      <w:r>
        <w:rPr>
          <w:b/>
          <w:bCs/>
        </w:rPr>
        <w:t xml:space="preserve">Challenges</w:t>
      </w:r>
      <w:r>
        <w:t xml:space="preserve"> </w:t>
      </w:r>
      <w:r>
        <w:t xml:space="preserve">—</w:t>
      </w:r>
      <w:r>
        <w:t xml:space="preserve"> </w:t>
      </w:r>
      <w:r>
        <w:rPr>
          <w:rStyle w:val="VerbatimChar"/>
        </w:rPr>
        <w:t xml:space="preserve">practice/challenges/</w:t>
      </w:r>
      <w:r>
        <w:t xml:space="preserve">: twenty-two open-ended problem statements (the judgment layer) with a facilitator’s answer key (model answers, scoring, planted-defect lists, role-play scripts, Shipley/DNA pointers).</w:t>
      </w:r>
    </w:p>
    <w:p>
      <w:pPr>
        <w:pStyle w:val="Compact"/>
        <w:numPr>
          <w:ilvl w:val="0"/>
          <w:numId w:val="1003"/>
        </w:numPr>
      </w:pPr>
      <w:r>
        <w:rPr>
          <w:b/>
          <w:bCs/>
        </w:rPr>
        <w:t xml:space="preserve">Forever-learning tier</w:t>
      </w:r>
      <w:r>
        <w:t xml:space="preserve"> </w:t>
      </w:r>
      <w:r>
        <w:t xml:space="preserve">— the fourth rung of the degree ladder:</w:t>
      </w:r>
      <w:r>
        <w:t xml:space="preserve"> </w:t>
      </w:r>
      <w:r>
        <w:rPr>
          <w:rStyle w:val="VerbatimChar"/>
        </w:rPr>
        <w:t xml:space="preserve">course/forever-learning-program.md</w:t>
      </w:r>
      <w:r>
        <w:t xml:space="preserve"> </w:t>
      </w:r>
      <w:r>
        <w:t xml:space="preserve">+</w:t>
      </w:r>
      <w:r>
        <w:t xml:space="preserve"> </w:t>
      </w:r>
      <w:r>
        <w:rPr>
          <w:rStyle w:val="VerbatimChar"/>
        </w:rPr>
        <w:t xml:space="preserve">modules/forever-learning/</w:t>
      </w:r>
      <w:r>
        <w:t xml:space="preserve"> </w:t>
      </w:r>
      <w:r>
        <w:t xml:space="preserve">(executive education, post-doctoral fellowship, alumni community, refresh and recertification, twenty-year arc).</w:t>
      </w:r>
      <w:r>
        <w:t xml:space="preserve"> </w:t>
      </w:r>
      <w:r>
        <w:rPr>
          <w:rStyle w:val="VerbatimChar"/>
        </w:rPr>
        <w:t xml:space="preserve">modules/README.md</w:t>
      </w:r>
      <w:r>
        <w:t xml:space="preserve"> </w:t>
      </w:r>
      <w:r>
        <w:t xml:space="preserve">and</w:t>
      </w:r>
      <w:r>
        <w:t xml:space="preserve"> </w:t>
      </w:r>
      <w:r>
        <w:rPr>
          <w:rStyle w:val="VerbatimChar"/>
        </w:rPr>
        <w:t xml:space="preserve">README.md</w:t>
      </w:r>
      <w:r>
        <w:t xml:space="preserve"> </w:t>
      </w:r>
      <w:r>
        <w:t xml:space="preserve">now describe a four-rung ladder.</w:t>
      </w:r>
    </w:p>
    <w:p>
      <w:pPr>
        <w:pStyle w:val="Compact"/>
        <w:numPr>
          <w:ilvl w:val="0"/>
          <w:numId w:val="1003"/>
        </w:numPr>
      </w:pPr>
      <w:r>
        <w:rPr>
          <w:b/>
          <w:bCs/>
        </w:rPr>
        <w:t xml:space="preserve">Literacy</w:t>
      </w:r>
      <w:r>
        <w:t xml:space="preserve"> </w:t>
      </w:r>
      <w:r>
        <w:t xml:space="preserve">—</w:t>
      </w:r>
      <w:r>
        <w:t xml:space="preserve"> </w:t>
      </w:r>
      <w:r>
        <w:rPr>
          <w:rStyle w:val="VerbatimChar"/>
        </w:rPr>
        <w:t xml:space="preserve">literacy/how-the-machine-learns.md</w:t>
      </w:r>
      <w:r>
        <w:t xml:space="preserve">: the DNA-surfacing page for professionals — what the machine corpus holds and how to evaluate its outputs.</w:t>
      </w:r>
    </w:p>
    <w:p>
      <w:pPr>
        <w:pStyle w:val="Compact"/>
        <w:numPr>
          <w:ilvl w:val="0"/>
          <w:numId w:val="1003"/>
        </w:numPr>
      </w:pPr>
      <w:r>
        <w:rPr>
          <w:b/>
          <w:bCs/>
        </w:rPr>
        <w:t xml:space="preserve">Posture fixes</w:t>
      </w:r>
      <w:r>
        <w:t xml:space="preserve"> </w:t>
      </w:r>
      <w:r>
        <w:t xml:space="preserve">— the survey’s fixes landed: full Shipley book canon + CPAR named in</w:t>
      </w:r>
      <w:r>
        <w:t xml:space="preserve"> </w:t>
      </w:r>
      <w:r>
        <w:rPr>
          <w:rStyle w:val="VerbatimChar"/>
        </w:rPr>
        <w:t xml:space="preserve">literacy/industry-standard-canon.md</w:t>
      </w:r>
      <w:r>
        <w:t xml:space="preserve">; a capture-vs-proposal staffing model in</w:t>
      </w:r>
      <w:r>
        <w:t xml:space="preserve"> </w:t>
      </w:r>
      <w:r>
        <w:rPr>
          <w:rStyle w:val="VerbatimChar"/>
        </w:rPr>
        <w:t xml:space="preserve">doctrine/09</w:t>
      </w:r>
      <w:r>
        <w:t xml:space="preserve">; the competency model’s gap analysis re-issued against the degree-tier course files; doctrine is ten chapters in</w:t>
      </w:r>
      <w:r>
        <w:t xml:space="preserve"> </w:t>
      </w:r>
      <w:r>
        <w:rPr>
          <w:rStyle w:val="VerbatimChar"/>
        </w:rPr>
        <w:t xml:space="preserve">guides/onboarding-and-placement.md</w:t>
      </w:r>
      <w:r>
        <w:t xml:space="preserve">;</w:t>
      </w:r>
      <w:r>
        <w:t xml:space="preserve"> </w:t>
      </w:r>
      <w:r>
        <w:rPr>
          <w:rStyle w:val="VerbatimChar"/>
        </w:rPr>
        <w:t xml:space="preserve">research/credential-mapping.md</w:t>
      </w:r>
      <w:r>
        <w:t xml:space="preserve"> </w:t>
      </w:r>
      <w:r>
        <w:t xml:space="preserve">marks</w:t>
      </w:r>
      <w:r>
        <w:t xml:space="preserve"> </w:t>
      </w:r>
      <w:r>
        <w:rPr>
          <w:rStyle w:val="VerbatimChar"/>
        </w:rPr>
        <w:t xml:space="preserve">the-four-volumes.md</w:t>
      </w:r>
      <w:r>
        <w:t xml:space="preserve"> </w:t>
      </w:r>
      <w:r>
        <w:t xml:space="preserve">merged.</w:t>
      </w:r>
    </w:p>
    <w:p>
      <w:pPr>
        <w:pStyle w:val="Compact"/>
        <w:numPr>
          <w:ilvl w:val="0"/>
          <w:numId w:val="1003"/>
        </w:numPr>
      </w:pPr>
      <w:r>
        <w:rPr>
          <w:b/>
          <w:bCs/>
        </w:rPr>
        <w:t xml:space="preserve">Registry + render</w:t>
      </w:r>
      <w:r>
        <w:t xml:space="preserve"> </w:t>
      </w:r>
      <w:r>
        <w:t xml:space="preserve">—</w:t>
      </w:r>
      <w:r>
        <w:t xml:space="preserve"> </w:t>
      </w:r>
      <w:r>
        <w:rPr>
          <w:rStyle w:val="VerbatimChar"/>
        </w:rPr>
        <w:t xml:space="preserve">manifest.yaml</w:t>
      </w:r>
      <w:r>
        <w:t xml:space="preserve"> </w:t>
      </w:r>
      <w:r>
        <w:t xml:space="preserve">registers every new doc (audience enum extended with</w:t>
      </w:r>
      <w:r>
        <w:t xml:space="preserve"> </w:t>
      </w:r>
      <w:r>
        <w:rPr>
          <w:rStyle w:val="VerbatimChar"/>
        </w:rPr>
        <w:t xml:space="preserve">forever-learning</w:t>
      </w:r>
      <w:r>
        <w:t xml:space="preserve">/</w:t>
      </w:r>
      <w:r>
        <w:rPr>
          <w:rStyle w:val="VerbatimChar"/>
        </w:rPr>
        <w:t xml:space="preserve">executive</w:t>
      </w:r>
      <w:r>
        <w:t xml:space="preserve">/</w:t>
      </w:r>
      <w:r>
        <w:rPr>
          <w:rStyle w:val="VerbatimChar"/>
        </w:rPr>
        <w:t xml:space="preserve">alumni</w:t>
      </w:r>
      <w:r>
        <w:t xml:space="preserve">/</w:t>
      </w:r>
      <w:r>
        <w:rPr>
          <w:rStyle w:val="VerbatimChar"/>
        </w:rPr>
        <w:t xml:space="preserve">postdoctoral</w:t>
      </w:r>
      <w:r>
        <w:t xml:space="preserve">);</w:t>
      </w:r>
      <w:r>
        <w:t xml:space="preserve"> </w:t>
      </w:r>
      <w:r>
        <w:rPr>
          <w:rStyle w:val="VerbatimChar"/>
        </w:rPr>
        <w:t xml:space="preserve">render/build-docx.sh</w:t>
      </w:r>
      <w:r>
        <w:t xml:space="preserve"> </w:t>
      </w:r>
      <w:r>
        <w:t xml:space="preserve">and</w:t>
      </w:r>
      <w:r>
        <w:t xml:space="preserve"> </w:t>
      </w:r>
      <w:r>
        <w:rPr>
          <w:rStyle w:val="VerbatimChar"/>
        </w:rPr>
        <w:t xml:space="preserve">render/build-pdf.sh</w:t>
      </w:r>
      <w:r>
        <w:t xml:space="preserve"> </w:t>
      </w:r>
      <w:r>
        <w:t xml:space="preserve">now include</w:t>
      </w:r>
      <w:r>
        <w:t xml:space="preserve"> </w:t>
      </w:r>
      <w:r>
        <w:rPr>
          <w:rStyle w:val="VerbatimChar"/>
        </w:rPr>
        <w:t xml:space="preserve">AGENTS.md</w:t>
      </w:r>
      <w:r>
        <w:t xml:space="preserve">.</w:t>
      </w:r>
    </w:p>
    <w:p>
      <w:pPr>
        <w:pStyle w:val="FirstParagraph"/>
      </w:pPr>
      <w:r>
        <w:t xml:space="preserve">VERSION bumped</w:t>
      </w:r>
      <w:r>
        <w:t xml:space="preserve"> </w:t>
      </w:r>
      <w:r>
        <w:rPr>
          <w:rStyle w:val="VerbatimChar"/>
        </w:rPr>
        <w:t xml:space="preserve">0.3.0</w:t>
      </w:r>
      <w:r>
        <w:t xml:space="preserve"> </w:t>
      </w:r>
      <w:r>
        <w:t xml:space="preserve">→</w:t>
      </w:r>
      <w:r>
        <w:t xml:space="preserve"> </w:t>
      </w:r>
      <w:r>
        <w:rPr>
          <w:rStyle w:val="VerbatimChar"/>
        </w:rPr>
        <w:t xml:space="preserve">0.4.0</w:t>
      </w:r>
      <w:r>
        <w:t xml:space="preserve">.</w:t>
      </w:r>
    </w:p>
    <w:bookmarkEnd w:id="22"/>
    <w:bookmarkStart w:id="23" w:name="X0107414b3a18c1123db86b54f2e582d698d2678"/>
    <w:p>
      <w:pPr>
        <w:pStyle w:val="Heading2"/>
      </w:pPr>
      <w:r>
        <w:t xml:space="preserve">2026-08-05 — v0.3.0: full Bachelor’s / Master’s / Doctoral curriculum expansion (repo)</w:t>
      </w:r>
    </w:p>
    <w:p>
      <w:pPr>
        <w:pStyle w:val="FirstParagraph"/>
      </w:pPr>
      <w:r>
        <w:t xml:space="preserve">The curriculum expands from a single semester course into a</w:t>
      </w:r>
      <w:r>
        <w:t xml:space="preserve"> </w:t>
      </w:r>
      <w:r>
        <w:rPr>
          <w:b/>
          <w:bCs/>
        </w:rPr>
        <w:t xml:space="preserve">three-rung degree ladder</w:t>
      </w:r>
      <w:r>
        <w:t xml:space="preserve"> </w:t>
      </w:r>
      <w:r>
        <w:t xml:space="preserve">plus the Shipley literacy layer, a research layer, and a full vocabulary expansion. This is the v0.3.0 milestone of the Launchpad curriculum build.</w:t>
      </w:r>
    </w:p>
    <w:p>
      <w:pPr>
        <w:pStyle w:val="Compact"/>
        <w:numPr>
          <w:ilvl w:val="0"/>
          <w:numId w:val="1004"/>
        </w:numPr>
      </w:pPr>
      <w:r>
        <w:rPr>
          <w:b/>
          <w:bCs/>
        </w:rPr>
        <w:t xml:space="preserve">Doctrine 09 + 10</w:t>
      </w:r>
      <w:r>
        <w:t xml:space="preserve"> </w:t>
      </w:r>
      <w:r>
        <w:t xml:space="preserve">— capture and competitive strategy (the seven-gate BD ladder, ghost themes, black-hat analysis) and post-submission and win (discussions, debrief, protest, past performance) — and</w:t>
      </w:r>
      <w:r>
        <w:t xml:space="preserve"> </w:t>
      </w:r>
      <w:r>
        <w:rPr>
          <w:rStyle w:val="VerbatimChar"/>
        </w:rPr>
        <w:t xml:space="preserve">doctrine/04</w:t>
      </w:r>
      <w:r>
        <w:t xml:space="preserve"> </w:t>
      </w:r>
      <w:r>
        <w:t xml:space="preserve">deepened with the color-team + BD-lifecycle machinery.</w:t>
      </w:r>
    </w:p>
    <w:p>
      <w:pPr>
        <w:pStyle w:val="Compact"/>
        <w:numPr>
          <w:ilvl w:val="0"/>
          <w:numId w:val="1004"/>
        </w:numPr>
      </w:pPr>
      <w:r>
        <w:rPr>
          <w:b/>
          <w:bCs/>
        </w:rPr>
        <w:t xml:space="preserve">Shipley literacy</w:t>
      </w:r>
      <w:r>
        <w:t xml:space="preserve"> </w:t>
      </w:r>
      <w:r>
        <w:t xml:space="preserve">—</w:t>
      </w:r>
      <w:r>
        <w:t xml:space="preserve"> </w:t>
      </w:r>
      <w:r>
        <w:rPr>
          <w:rStyle w:val="VerbatimChar"/>
        </w:rPr>
        <w:t xml:space="preserve">literacy/how-color-teams-work.md</w:t>
      </w:r>
      <w:r>
        <w:t xml:space="preserve">,</w:t>
      </w:r>
      <w:r>
        <w:t xml:space="preserve"> </w:t>
      </w:r>
      <w:r>
        <w:rPr>
          <w:rStyle w:val="VerbatimChar"/>
        </w:rPr>
        <w:t xml:space="preserve">literacy/the-four-volumes.md</w:t>
      </w:r>
      <w:r>
        <w:t xml:space="preserve">,</w:t>
      </w:r>
      <w:r>
        <w:t xml:space="preserve"> </w:t>
      </w:r>
      <w:r>
        <w:rPr>
          <w:rStyle w:val="VerbatimChar"/>
        </w:rPr>
        <w:t xml:space="preserve">literacy/industry-standard-canon.md</w:t>
      </w:r>
      <w:r>
        <w:t xml:space="preserve">.</w:t>
      </w:r>
    </w:p>
    <w:p>
      <w:pPr>
        <w:pStyle w:val="Compact"/>
        <w:numPr>
          <w:ilvl w:val="0"/>
          <w:numId w:val="1004"/>
        </w:numPr>
      </w:pPr>
      <w:r>
        <w:rPr>
          <w:b/>
          <w:bCs/>
        </w:rPr>
        <w:t xml:space="preserve">Vocabulary</w:t>
      </w:r>
      <w:r>
        <w:t xml:space="preserve"> </w:t>
      </w:r>
      <w:r>
        <w:t xml:space="preserve">— glossary expanded 44 → 82 entries; acronym decoder +12 rows.</w:t>
      </w:r>
    </w:p>
    <w:p>
      <w:pPr>
        <w:pStyle w:val="Compact"/>
        <w:numPr>
          <w:ilvl w:val="0"/>
          <w:numId w:val="1004"/>
        </w:numPr>
      </w:pPr>
      <w:r>
        <w:rPr>
          <w:b/>
          <w:bCs/>
        </w:rPr>
        <w:t xml:space="preserve">Undergraduate tier</w:t>
      </w:r>
      <w:r>
        <w:t xml:space="preserve"> </w:t>
      </w:r>
      <w:r>
        <w:t xml:space="preserve">— B.S. in Government Business Development: program overview + DL 101/102/210/220/301/302/303/304/305/480 syllabi +</w:t>
      </w:r>
      <w:r>
        <w:t xml:space="preserve"> </w:t>
      </w:r>
      <w:r>
        <w:rPr>
          <w:rStyle w:val="VerbatimChar"/>
        </w:rPr>
        <w:t xml:space="preserve">modules/undergraduate/</w:t>
      </w:r>
      <w:r>
        <w:t xml:space="preserve">.</w:t>
      </w:r>
    </w:p>
    <w:p>
      <w:pPr>
        <w:pStyle w:val="Compact"/>
        <w:numPr>
          <w:ilvl w:val="0"/>
          <w:numId w:val="1004"/>
        </w:numPr>
      </w:pPr>
      <w:r>
        <w:rPr>
          <w:b/>
          <w:bCs/>
        </w:rPr>
        <w:t xml:space="preserve">Graduate tier</w:t>
      </w:r>
      <w:r>
        <w:t xml:space="preserve"> </w:t>
      </w:r>
      <w:r>
        <w:t xml:space="preserve">— M.S. in Capture Management: program overview + GC 501/510/520/530/540 + GE 610/620/630/640 syllabi +</w:t>
      </w:r>
      <w:r>
        <w:t xml:space="preserve"> </w:t>
      </w:r>
      <w:r>
        <w:rPr>
          <w:rStyle w:val="VerbatimChar"/>
        </w:rPr>
        <w:t xml:space="preserve">modules/graduate/</w:t>
      </w:r>
      <w:r>
        <w:t xml:space="preserve">.</w:t>
      </w:r>
    </w:p>
    <w:p>
      <w:pPr>
        <w:pStyle w:val="Compact"/>
        <w:numPr>
          <w:ilvl w:val="0"/>
          <w:numId w:val="1004"/>
        </w:numPr>
      </w:pPr>
      <w:r>
        <w:rPr>
          <w:b/>
          <w:bCs/>
        </w:rPr>
        <w:t xml:space="preserve">Doctoral tier</w:t>
      </w:r>
      <w:r>
        <w:t xml:space="preserve"> </w:t>
      </w:r>
      <w:r>
        <w:t xml:space="preserve">— research doctorate: program overview + DL 901/902/903 + dissertation sequence +</w:t>
      </w:r>
      <w:r>
        <w:t xml:space="preserve"> </w:t>
      </w:r>
      <w:r>
        <w:rPr>
          <w:rStyle w:val="VerbatimChar"/>
        </w:rPr>
        <w:t xml:space="preserve">modules/doctoral/research-agenda.md</w:t>
      </w:r>
      <w:r>
        <w:t xml:space="preserve">.</w:t>
      </w:r>
    </w:p>
    <w:p>
      <w:pPr>
        <w:pStyle w:val="Compact"/>
        <w:numPr>
          <w:ilvl w:val="0"/>
          <w:numId w:val="1004"/>
        </w:numPr>
      </w:pPr>
      <w:r>
        <w:rPr>
          <w:b/>
          <w:bCs/>
        </w:rPr>
        <w:t xml:space="preserve">One-stop layer</w:t>
      </w:r>
      <w:r>
        <w:t xml:space="preserve"> </w:t>
      </w:r>
      <w:r>
        <w:t xml:space="preserve">— practice/ (worked exemplar, exercise bank, answer keys), guides/ (onboarding &amp; placement, facilitator playbook), study-plans/, faq.md,</w:t>
      </w:r>
      <w:r>
        <w:t xml:space="preserve"> </w:t>
      </w:r>
      <w:r>
        <w:rPr>
          <w:rStyle w:val="VerbatimChar"/>
        </w:rPr>
        <w:t xml:space="preserve">literacy/further-reading.md</w:t>
      </w:r>
      <w:r>
        <w:t xml:space="preserve">.</w:t>
      </w:r>
    </w:p>
    <w:p>
      <w:pPr>
        <w:pStyle w:val="Compact"/>
        <w:numPr>
          <w:ilvl w:val="0"/>
          <w:numId w:val="1004"/>
        </w:numPr>
      </w:pPr>
      <w:r>
        <w:rPr>
          <w:b/>
          <w:bCs/>
        </w:rPr>
        <w:t xml:space="preserve">Research layer</w:t>
      </w:r>
      <w:r>
        <w:t xml:space="preserve"> </w:t>
      </w:r>
      <w:r>
        <w:t xml:space="preserve">—</w:t>
      </w:r>
      <w:r>
        <w:t xml:space="preserve"> </w:t>
      </w:r>
      <w:r>
        <w:rPr>
          <w:rStyle w:val="VerbatimChar"/>
        </w:rPr>
        <w:t xml:space="preserve">research/competency-model.md</w:t>
      </w:r>
      <w:r>
        <w:t xml:space="preserve">,</w:t>
      </w:r>
      <w:r>
        <w:t xml:space="preserve"> </w:t>
      </w:r>
      <w:r>
        <w:rPr>
          <w:rStyle w:val="VerbatimChar"/>
        </w:rPr>
        <w:t xml:space="preserve">research/market-accreditation.md</w:t>
      </w:r>
      <w:r>
        <w:t xml:space="preserve">,</w:t>
      </w:r>
      <w:r>
        <w:t xml:space="preserve"> </w:t>
      </w:r>
      <w:r>
        <w:rPr>
          <w:rStyle w:val="VerbatimChar"/>
        </w:rPr>
        <w:t xml:space="preserve">research/credential-mapping.md</w:t>
      </w:r>
      <w:r>
        <w:t xml:space="preserve"> </w:t>
      </w:r>
      <w:r>
        <w:t xml:space="preserve">(curriculum-design reference; not taught material, not rendered to</w:t>
      </w:r>
      <w:r>
        <w:t xml:space="preserve"> </w:t>
      </w:r>
      <w:r>
        <w:rPr>
          <w:rStyle w:val="VerbatimChar"/>
        </w:rPr>
        <w:t xml:space="preserve">dist/</w:t>
      </w:r>
      <w:r>
        <w:t xml:space="preserve">).</w:t>
      </w:r>
    </w:p>
    <w:p>
      <w:pPr>
        <w:pStyle w:val="Compact"/>
        <w:numPr>
          <w:ilvl w:val="0"/>
          <w:numId w:val="1004"/>
        </w:numPr>
      </w:pPr>
      <w:r>
        <w:rPr>
          <w:b/>
          <w:bCs/>
        </w:rPr>
        <w:t xml:space="preserve">Alignment</w:t>
      </w:r>
      <w:r>
        <w:t xml:space="preserve"> </w:t>
      </w:r>
      <w:r>
        <w:t xml:space="preserve">—</w:t>
      </w:r>
      <w:r>
        <w:t xml:space="preserve"> </w:t>
      </w:r>
      <w:r>
        <w:rPr>
          <w:rStyle w:val="VerbatimChar"/>
        </w:rPr>
        <w:t xml:space="preserve">align/concept-to-system-map.md</w:t>
      </w:r>
      <w:r>
        <w:t xml:space="preserve"> </w:t>
      </w:r>
      <w:r>
        <w:t xml:space="preserve">DNA pin moved</w:t>
      </w:r>
      <w:r>
        <w:t xml:space="preserve"> </w:t>
      </w:r>
      <w:r>
        <w:rPr>
          <w:rStyle w:val="VerbatimChar"/>
        </w:rPr>
        <w:t xml:space="preserve">v0.18.1</w:t>
      </w:r>
      <w:r>
        <w:t xml:space="preserve"> </w:t>
      </w:r>
      <w:r>
        <w:t xml:space="preserve">→</w:t>
      </w:r>
      <w:r>
        <w:t xml:space="preserve"> </w:t>
      </w:r>
      <w:r>
        <w:rPr>
          <w:rStyle w:val="VerbatimChar"/>
        </w:rPr>
        <w:t xml:space="preserve">v0.18.2</w:t>
      </w:r>
      <w:r>
        <w:t xml:space="preserve">; crosswalk now points at the real degree-tier course files; new concept-map sections 10 (capture &amp; competitive strategy) and 11 (post-submission &amp; win);</w:t>
      </w:r>
      <w:r>
        <w:t xml:space="preserve"> </w:t>
      </w:r>
      <w:r>
        <w:rPr>
          <w:rStyle w:val="VerbatimChar"/>
        </w:rPr>
        <w:t xml:space="preserve">rules/apmp-color-teams.yaml</w:t>
      </w:r>
      <w:r>
        <w:t xml:space="preserve"> </w:t>
      </w:r>
      <w:r>
        <w:t xml:space="preserve">added to the gates section.</w:t>
      </w:r>
      <w:r>
        <w:t xml:space="preserve"> </w:t>
      </w:r>
      <w:r>
        <w:rPr>
          <w:rStyle w:val="VerbatimChar"/>
        </w:rPr>
        <w:t xml:space="preserve">manifest.yaml</w:t>
      </w:r>
      <w:r>
        <w:t xml:space="preserve"> </w:t>
      </w:r>
      <w:r>
        <w:t xml:space="preserve">registers every new doc (audience enum extended with</w:t>
      </w:r>
      <w:r>
        <w:t xml:space="preserve"> </w:t>
      </w:r>
      <w:r>
        <w:rPr>
          <w:rStyle w:val="VerbatimChar"/>
        </w:rPr>
        <w:t xml:space="preserve">undergraduate</w:t>
      </w:r>
      <w:r>
        <w:t xml:space="preserve">/</w:t>
      </w:r>
      <w:r>
        <w:rPr>
          <w:rStyle w:val="VerbatimChar"/>
        </w:rPr>
        <w:t xml:space="preserve">graduate</w:t>
      </w:r>
      <w:r>
        <w:t xml:space="preserve">/</w:t>
      </w:r>
      <w:r>
        <w:rPr>
          <w:rStyle w:val="VerbatimChar"/>
        </w:rPr>
        <w:t xml:space="preserve">doctoral</w:t>
      </w:r>
      <w:r>
        <w:t xml:space="preserve">).</w:t>
      </w:r>
    </w:p>
    <w:p>
      <w:pPr>
        <w:pStyle w:val="Compact"/>
        <w:numPr>
          <w:ilvl w:val="0"/>
          <w:numId w:val="1004"/>
        </w:numPr>
      </w:pPr>
      <w:r>
        <w:rPr>
          <w:b/>
          <w:bCs/>
        </w:rPr>
        <w:t xml:space="preserve">Render</w:t>
      </w:r>
      <w:r>
        <w:t xml:space="preserve"> </w:t>
      </w:r>
      <w:r>
        <w:t xml:space="preserve">—</w:t>
      </w:r>
      <w:r>
        <w:t xml:space="preserve"> </w:t>
      </w:r>
      <w:r>
        <w:rPr>
          <w:rStyle w:val="VerbatimChar"/>
        </w:rPr>
        <w:t xml:space="preserve">render/build-docx.sh</w:t>
      </w:r>
      <w:r>
        <w:t xml:space="preserve"> </w:t>
      </w:r>
      <w:r>
        <w:t xml:space="preserve">and</w:t>
      </w:r>
      <w:r>
        <w:t xml:space="preserve"> </w:t>
      </w:r>
      <w:r>
        <w:rPr>
          <w:rStyle w:val="VerbatimChar"/>
        </w:rPr>
        <w:t xml:space="preserve">render/build-pdf.sh</w:t>
      </w:r>
      <w:r>
        <w:t xml:space="preserve"> </w:t>
      </w:r>
      <w:r>
        <w:t xml:space="preserve">now also cover</w:t>
      </w:r>
      <w:r>
        <w:t xml:space="preserve"> </w:t>
      </w:r>
      <w:r>
        <w:rPr>
          <w:rStyle w:val="VerbatimChar"/>
        </w:rPr>
        <w:t xml:space="preserve">practice/</w:t>
      </w:r>
      <w:r>
        <w:t xml:space="preserve">,</w:t>
      </w:r>
      <w:r>
        <w:t xml:space="preserve"> </w:t>
      </w:r>
      <w:r>
        <w:rPr>
          <w:rStyle w:val="VerbatimChar"/>
        </w:rPr>
        <w:t xml:space="preserve">guides/</w:t>
      </w:r>
      <w:r>
        <w:t xml:space="preserve">,</w:t>
      </w:r>
      <w:r>
        <w:t xml:space="preserve"> </w:t>
      </w:r>
      <w:r>
        <w:rPr>
          <w:rStyle w:val="VerbatimChar"/>
        </w:rPr>
        <w:t xml:space="preserve">study-plans/</w:t>
      </w:r>
      <w:r>
        <w:t xml:space="preserve">,</w:t>
      </w:r>
      <w:r>
        <w:t xml:space="preserve"> </w:t>
      </w:r>
      <w:r>
        <w:rPr>
          <w:rStyle w:val="VerbatimChar"/>
        </w:rPr>
        <w:t xml:space="preserve">faq.md</w:t>
      </w:r>
      <w:r>
        <w:t xml:space="preserve">, and</w:t>
      </w:r>
      <w:r>
        <w:t xml:space="preserve"> </w:t>
      </w:r>
      <w:r>
        <w:rPr>
          <w:rStyle w:val="VerbatimChar"/>
        </w:rPr>
        <w:t xml:space="preserve">changelog.md</w:t>
      </w:r>
      <w:r>
        <w:t xml:space="preserve">.</w:t>
      </w:r>
    </w:p>
    <w:p>
      <w:pPr>
        <w:pStyle w:val="FirstParagraph"/>
      </w:pPr>
      <w:r>
        <w:t xml:space="preserve">VERSION bumped</w:t>
      </w:r>
      <w:r>
        <w:t xml:space="preserve"> </w:t>
      </w:r>
      <w:r>
        <w:rPr>
          <w:rStyle w:val="VerbatimChar"/>
        </w:rPr>
        <w:t xml:space="preserve">0.2.3</w:t>
      </w:r>
      <w:r>
        <w:t xml:space="preserve"> </w:t>
      </w:r>
      <w:r>
        <w:t xml:space="preserve">→</w:t>
      </w:r>
      <w:r>
        <w:t xml:space="preserve"> </w:t>
      </w:r>
      <w:r>
        <w:rPr>
          <w:rStyle w:val="VerbatimChar"/>
        </w:rPr>
        <w:t xml:space="preserve">0.3.0</w:t>
      </w:r>
      <w:r>
        <w:t xml:space="preserve">.</w:t>
      </w:r>
    </w:p>
    <w:bookmarkEnd w:id="23"/>
    <w:bookmarkStart w:id="25" w:name="practice-orientation-layer-added-repo"/>
    <w:p>
      <w:pPr>
        <w:pStyle w:val="Heading2"/>
      </w:pPr>
      <w:r>
        <w:t xml:space="preserve">2026-08-05 — Practice + orientation layer added (repo)</w:t>
      </w:r>
    </w:p>
    <w:p>
      <w:pPr>
        <w:pStyle w:val="FirstParagraph"/>
      </w:pPr>
      <w:r>
        <w:t xml:space="preserve">The Launchpad Sandbox becomes a one-stop solo learning space. Added a complete practice and orientation layer alongside the existing doctrine, literacy, modules, and course:</w:t>
      </w:r>
    </w:p>
    <w:p>
      <w:pPr>
        <w:pStyle w:val="Compact"/>
        <w:numPr>
          <w:ilvl w:val="0"/>
          <w:numId w:val="1005"/>
        </w:numPr>
      </w:pPr>
      <w:r>
        <w:rPr>
          <w:rStyle w:val="VerbatimChar"/>
          <w:b/>
          <w:bCs/>
        </w:rPr>
        <w:t xml:space="preserve">practice/worked-exemplar-day-in-the-life.md</w:t>
      </w:r>
      <w:r>
        <w:t xml:space="preserve"> </w:t>
      </w:r>
      <w:r>
        <w:t xml:space="preserve">— a full end-to-end worked pursuit for the Ravonics canary company: an STTR Phase I solicitation walked from the 15-minute scan through the score, the compliance matrix, the ORBITAL, and the bid/no-bid call, with the reasoning at every step. The single highest-value practice artifact in the space.</w:t>
      </w:r>
    </w:p>
    <w:p>
      <w:pPr>
        <w:pStyle w:val="Compact"/>
        <w:numPr>
          <w:ilvl w:val="0"/>
          <w:numId w:val="1005"/>
        </w:numPr>
      </w:pPr>
      <w:r>
        <w:rPr>
          <w:rStyle w:val="VerbatimChar"/>
          <w:b/>
          <w:bCs/>
        </w:rPr>
        <w:t xml:space="preserve">practice/exercises.md</w:t>
      </w:r>
      <w:r>
        <w:rPr>
          <w:b/>
          <w:bCs/>
        </w:rPr>
        <w:t xml:space="preserve"> </w:t>
      </w:r>
      <w:r>
        <w:rPr>
          <w:b/>
          <w:bCs/>
        </w:rPr>
        <w:t xml:space="preserve">+</w:t>
      </w:r>
      <w:r>
        <w:rPr>
          <w:b/>
          <w:bCs/>
        </w:rPr>
        <w:t xml:space="preserve"> </w:t>
      </w:r>
      <w:r>
        <w:rPr>
          <w:rStyle w:val="VerbatimChar"/>
          <w:b/>
          <w:bCs/>
        </w:rPr>
        <w:t xml:space="preserve">practice/answer-keys.md</w:t>
      </w:r>
      <w:r>
        <w:t xml:space="preserve"> </w:t>
      </w:r>
      <w:r>
        <w:t xml:space="preserve">— a practice bank (doctrine drills D01–D08, shared-core SC-E1–E6, track exercises SI/MBA/MPA, integrated mini-capstone) with full answer keys,</w:t>
      </w:r>
      <w:r>
        <w:t xml:space="preserve"> </w:t>
      </w:r>
      <w:r>
        <w:rPr>
          <w:b/>
          <w:bCs/>
        </w:rPr>
        <w:t xml:space="preserve">including answers to every existing self-check in the doctrine and every comprehension check in the modules</w:t>
      </w:r>
      <w:r>
        <w:t xml:space="preserve"> </w:t>
      </w:r>
      <w:r>
        <w:t xml:space="preserve">— which previously had no answers anywhere.</w:t>
      </w:r>
    </w:p>
    <w:p>
      <w:pPr>
        <w:pStyle w:val="Compact"/>
        <w:numPr>
          <w:ilvl w:val="0"/>
          <w:numId w:val="1005"/>
        </w:numPr>
      </w:pPr>
      <w:r>
        <w:rPr>
          <w:rStyle w:val="VerbatimChar"/>
          <w:b/>
          <w:bCs/>
        </w:rPr>
        <w:t xml:space="preserve">guides/onboarding-and-placement.md</w:t>
      </w:r>
      <w:r>
        <w:t xml:space="preserve"> </w:t>
      </w:r>
      <w:r>
        <w:t xml:space="preserve">—</w:t>
      </w:r>
      <w:r>
        <w:t xml:space="preserve"> </w:t>
      </w:r>
      <w:r>
        <w:t xml:space="preserve">“</w:t>
      </w:r>
      <w:r>
        <w:t xml:space="preserve">start here</w:t>
      </w:r>
      <w:r>
        <w:t xml:space="preserve">”</w:t>
      </w:r>
      <w:r>
        <w:t xml:space="preserve"> </w:t>
      </w:r>
      <w:r>
        <w:t xml:space="preserve">for fellows, coaches, professionals, and students; a ten-minute self-assessment that places a learner at L1–L5 or the Ignition Legacy Track, with a recommended starting path per placement.</w:t>
      </w:r>
    </w:p>
    <w:p>
      <w:pPr>
        <w:pStyle w:val="Compact"/>
        <w:numPr>
          <w:ilvl w:val="0"/>
          <w:numId w:val="1005"/>
        </w:numPr>
      </w:pPr>
      <w:r>
        <w:rPr>
          <w:rStyle w:val="VerbatimChar"/>
          <w:b/>
          <w:bCs/>
        </w:rPr>
        <w:t xml:space="preserve">guides/facilitator-playbook.md</w:t>
      </w:r>
      <w:r>
        <w:t xml:space="preserve"> </w:t>
      </w:r>
      <w:r>
        <w:t xml:space="preserve">— how to run a Launchpad cohort or module: session skeleton, practice mapping, facilitation craft, an 8-week cohort plan, and the pitfalls.</w:t>
      </w:r>
    </w:p>
    <w:p>
      <w:pPr>
        <w:pStyle w:val="Compact"/>
        <w:numPr>
          <w:ilvl w:val="0"/>
          <w:numId w:val="1005"/>
        </w:numPr>
      </w:pPr>
      <w:r>
        <w:rPr>
          <w:rStyle w:val="VerbatimChar"/>
          <w:b/>
          <w:bCs/>
        </w:rPr>
        <w:t xml:space="preserve">faq.md</w:t>
      </w:r>
      <w:r>
        <w:t xml:space="preserve"> </w:t>
      </w:r>
      <w:r>
        <w:t xml:space="preserve">— the questions newcomers, professionals, and students actually ask, answered from the existing content.</w:t>
      </w:r>
    </w:p>
    <w:p>
      <w:pPr>
        <w:pStyle w:val="Compact"/>
        <w:numPr>
          <w:ilvl w:val="0"/>
          <w:numId w:val="1005"/>
        </w:numPr>
      </w:pPr>
      <w:r>
        <w:rPr>
          <w:rStyle w:val="VerbatimChar"/>
          <w:b/>
          <w:bCs/>
        </w:rPr>
        <w:t xml:space="preserve">study-plans/</w:t>
      </w:r>
      <w:r>
        <w:t xml:space="preserve"> </w:t>
      </w:r>
      <w:r>
        <w:t xml:space="preserve">— three week-by-week solo paths:</w:t>
      </w:r>
      <w:r>
        <w:t xml:space="preserve"> </w:t>
      </w:r>
      <w:r>
        <w:rPr>
          <w:b/>
          <w:bCs/>
        </w:rPr>
        <w:t xml:space="preserve">student</w:t>
      </w:r>
      <w:r>
        <w:t xml:space="preserve">,</w:t>
      </w:r>
      <w:r>
        <w:t xml:space="preserve"> </w:t>
      </w:r>
      <w:r>
        <w:rPr>
          <w:b/>
          <w:bCs/>
        </w:rPr>
        <w:t xml:space="preserve">solo professional</w:t>
      </w:r>
      <w:r>
        <w:t xml:space="preserve"> </w:t>
      </w:r>
      <w:r>
        <w:t xml:space="preserve">(with an Ignition Legacy Track note for professionals 50+), and</w:t>
      </w:r>
      <w:r>
        <w:t xml:space="preserve"> </w:t>
      </w:r>
      <w:r>
        <w:rPr>
          <w:b/>
          <w:bCs/>
        </w:rPr>
        <w:t xml:space="preserve">coach/facilitator</w:t>
      </w:r>
      <w:r>
        <w:t xml:space="preserve">.</w:t>
      </w:r>
    </w:p>
    <w:p>
      <w:pPr>
        <w:pStyle w:val="Compact"/>
        <w:numPr>
          <w:ilvl w:val="0"/>
          <w:numId w:val="1005"/>
        </w:numPr>
      </w:pPr>
      <w:r>
        <w:rPr>
          <w:rStyle w:val="VerbatimChar"/>
          <w:b/>
          <w:bCs/>
        </w:rPr>
        <w:t xml:space="preserve">literacy/further-reading.md</w:t>
      </w:r>
      <w:r>
        <w:t xml:space="preserve"> </w:t>
      </w:r>
      <w:r>
        <w:t xml:space="preserve">— consolidated official sources (SAM.gov, Grants.gov, USAspending.gov, acquisition.gov/FAR, SBA, SBIR.gov) with one-line notes.</w:t>
      </w:r>
    </w:p>
    <w:p>
      <w:pPr>
        <w:pStyle w:val="Compact"/>
        <w:numPr>
          <w:ilvl w:val="0"/>
          <w:numId w:val="1005"/>
        </w:numPr>
      </w:pPr>
      <w:r>
        <w:rPr>
          <w:rStyle w:val="VerbatimChar"/>
          <w:b/>
          <w:bCs/>
        </w:rPr>
        <w:t xml:space="preserve">changelog.md</w:t>
      </w:r>
      <w:r>
        <w:t xml:space="preserve"> </w:t>
      </w:r>
      <w:r>
        <w:t xml:space="preserve">— this file.</w:t>
      </w:r>
    </w:p>
    <w:p>
      <w:pPr>
        <w:pStyle w:val="FirstParagraph"/>
      </w:pPr>
      <w:r>
        <w:t xml:space="preserve">All content is concept-first and stack-agnostic per the repo’s core rule (</w:t>
      </w:r>
      <w:hyperlink r:id="rId24">
        <w:r>
          <w:rPr>
            <w:rStyle w:val="Hyperlink"/>
          </w:rPr>
          <w:t xml:space="preserve">doctrine/08</w:t>
        </w:r>
      </w:hyperlink>
      <w:r>
        <w:t xml:space="preserve">). Nothing in the doctrine, literacy glossary, acronym decoder, modules, or course was edited.</w:t>
      </w:r>
    </w:p>
    <w:bookmarkEnd w:id="25"/>
    <w:bookmarkStart w:id="26" w:name="X6cbaa9a1167ca0d446faa7f98904a85107f3d23"/>
    <w:p>
      <w:pPr>
        <w:pStyle w:val="Heading2"/>
      </w:pPr>
      <w:r>
        <w:t xml:space="preserve">2026-08-05 — DNA provenance migrated TLI→CRC (cross-repo, sandbox-adjacent)</w:t>
      </w:r>
    </w:p>
    <w:p>
      <w:pPr>
        <w:pStyle w:val="FirstParagraph"/>
      </w:pPr>
      <w:r>
        <w:t xml:space="preserve">The machine-side doctrine (</w:t>
      </w:r>
      <w:r>
        <w:rPr>
          <w:rStyle w:val="VerbatimChar"/>
        </w:rPr>
        <w:t xml:space="preserve">DreamLimited/dna</w:t>
      </w:r>
      <w:r>
        <w:t xml:space="preserve">) re-attributed its provenance from Tao Learning Institute to Curiosity Research Corporation: VERSION bumped to 0.18.2, the registry-slug corrected to the real registry entity</w:t>
      </w:r>
      <w:r>
        <w:t xml:space="preserve"> </w:t>
      </w:r>
      <w:r>
        <w:rPr>
          <w:rStyle w:val="VerbatimChar"/>
          <w:b/>
          <w:bCs/>
        </w:rPr>
        <w:t xml:space="preserve">curiosity-corporation</w:t>
      </w:r>
      <w:r>
        <w:t xml:space="preserve"> </w:t>
      </w:r>
      <w:r>
        <w:t xml:space="preserve">(legal</w:t>
      </w:r>
      <w:r>
        <w:t xml:space="preserve"> </w:t>
      </w:r>
      <w:r>
        <w:t xml:space="preserve">“</w:t>
      </w:r>
      <w:r>
        <w:t xml:space="preserve">Curiosity Corporation</w:t>
      </w:r>
      <w:r>
        <w:t xml:space="preserve">”</w:t>
      </w:r>
      <w:r>
        <w:t xml:space="preserve">, EIN 33-3478603), and a systemic ADR-citation mispointing fixed across the DNA corpus. Relevant here because the Launchpad Sandbox’s curriculum shares the same brand story: the human side (this repo) and the machine side (DNA) must agree on</w:t>
      </w:r>
      <w:r>
        <w:t xml:space="preserve"> </w:t>
      </w:r>
      <w:r>
        <w:rPr>
          <w:i/>
          <w:iCs/>
        </w:rPr>
        <w:t xml:space="preserve">who publishes the doctrine</w:t>
      </w:r>
      <w:r>
        <w:t xml:space="preserve">.</w:t>
      </w:r>
    </w:p>
    <w:bookmarkEnd w:id="26"/>
    <w:bookmarkStart w:id="28" w:name="X1ec9dd0d597efa5e2a1f89bf85417dd334fdf1d"/>
    <w:p>
      <w:pPr>
        <w:pStyle w:val="Heading2"/>
      </w:pPr>
      <w:r>
        <w:t xml:space="preserve">2026-08-04 — Branding migration: Tao → CRC, SMILE → SPARK (repo + sandbox)</w:t>
      </w:r>
    </w:p>
    <w:p>
      <w:pPr>
        <w:pStyle w:val="FirstParagraph"/>
      </w:pPr>
      <w:r>
        <w:t xml:space="preserve">The fellowship brand family was rebranded and harmonized across the repo and the Launchpad Sandbox:</w:t>
      </w:r>
    </w:p>
    <w:p>
      <w:pPr>
        <w:pStyle w:val="Compact"/>
        <w:numPr>
          <w:ilvl w:val="0"/>
          <w:numId w:val="1006"/>
        </w:numPr>
      </w:pPr>
      <w:r>
        <w:rPr>
          <w:b/>
          <w:bCs/>
        </w:rPr>
        <w:t xml:space="preserve">“</w:t>
      </w:r>
      <w:r>
        <w:rPr>
          <w:b/>
          <w:bCs/>
        </w:rPr>
        <w:t xml:space="preserve">Tao Learning</w:t>
      </w:r>
      <w:r>
        <w:rPr>
          <w:b/>
          <w:bCs/>
        </w:rPr>
        <w:t xml:space="preserve">”</w:t>
      </w:r>
      <w:r>
        <w:rPr>
          <w:b/>
          <w:bCs/>
        </w:rPr>
        <w:t xml:space="preserve"> </w:t>
      </w:r>
      <w:r>
        <w:rPr>
          <w:b/>
          <w:bCs/>
        </w:rPr>
        <w:t xml:space="preserve">(Tao Learning Institute) retired</w:t>
      </w:r>
      <w:r>
        <w:t xml:space="preserve"> </w:t>
      </w:r>
      <w:r>
        <w:t xml:space="preserve">as the attribution for training material; the parent nonprofit is now</w:t>
      </w:r>
      <w:r>
        <w:t xml:space="preserve"> </w:t>
      </w:r>
      <w:r>
        <w:rPr>
          <w:b/>
          <w:bCs/>
        </w:rPr>
        <w:t xml:space="preserve">Curiosity Research Corporation</w:t>
      </w:r>
      <w:r>
        <w:t xml:space="preserve"> </w:t>
      </w:r>
      <w:r>
        <w:t xml:space="preserve">(</w:t>
      </w:r>
      <w:r>
        <w:rPr>
          <w:rStyle w:val="VerbatimChar"/>
        </w:rPr>
        <w:t xml:space="preserve">curiositycorp.org</w:t>
      </w:r>
      <w:r>
        <w:t xml:space="preserve">), and its program is</w:t>
      </w:r>
      <w:r>
        <w:t xml:space="preserve"> </w:t>
      </w:r>
      <w:r>
        <w:rPr>
          <w:b/>
          <w:bCs/>
        </w:rPr>
        <w:t xml:space="preserve">Ignite Curiosity</w:t>
      </w:r>
      <w:r>
        <w:t xml:space="preserve">.</w:t>
      </w:r>
    </w:p>
    <w:p>
      <w:pPr>
        <w:pStyle w:val="Compact"/>
        <w:numPr>
          <w:ilvl w:val="0"/>
          <w:numId w:val="1006"/>
        </w:numPr>
      </w:pPr>
      <w:r>
        <w:rPr>
          <w:b/>
          <w:bCs/>
        </w:rPr>
        <w:t xml:space="preserve">“</w:t>
      </w:r>
      <w:r>
        <w:rPr>
          <w:b/>
          <w:bCs/>
        </w:rPr>
        <w:t xml:space="preserve">SMILE Method</w:t>
      </w:r>
      <w:r>
        <w:rPr>
          <w:b/>
          <w:bCs/>
        </w:rPr>
        <w:t xml:space="preserve">”</w:t>
      </w:r>
      <w:r>
        <w:rPr>
          <w:b/>
          <w:bCs/>
        </w:rPr>
        <w:t xml:space="preserve"> </w:t>
      </w:r>
      <w:r>
        <w:rPr>
          <w:b/>
          <w:bCs/>
        </w:rPr>
        <w:t xml:space="preserve">sunset</w:t>
      </w:r>
      <w:r>
        <w:t xml:space="preserve">; replaced by the</w:t>
      </w:r>
      <w:r>
        <w:t xml:space="preserve"> </w:t>
      </w:r>
      <w:r>
        <w:rPr>
          <w:b/>
          <w:bCs/>
        </w:rPr>
        <w:t xml:space="preserve">SPARK Learning System™</w:t>
      </w:r>
      <w:r>
        <w:t xml:space="preserve"> </w:t>
      </w:r>
      <w:r>
        <w:t xml:space="preserve">— five phases (Seek → Play → Apply → Research → Know), with</w:t>
      </w:r>
      <w:r>
        <w:t xml:space="preserve"> </w:t>
      </w:r>
      <w:r>
        <w:rPr>
          <w:i/>
          <w:iCs/>
        </w:rPr>
        <w:t xml:space="preserve">safety as the foundation, not a phase</w:t>
      </w:r>
      <w:r>
        <w:t xml:space="preserve">, SPARK Sessions (hands-on, no-grades exploration), and a six-step learner journey.</w:t>
      </w:r>
    </w:p>
    <w:p>
      <w:pPr>
        <w:pStyle w:val="Compact"/>
        <w:numPr>
          <w:ilvl w:val="0"/>
          <w:numId w:val="1006"/>
        </w:numPr>
      </w:pPr>
      <w:r>
        <w:rPr>
          <w:b/>
          <w:bCs/>
        </w:rPr>
        <w:t xml:space="preserve">Trademark precision:</w:t>
      </w:r>
      <w:r>
        <w:t xml:space="preserve"> </w:t>
      </w:r>
      <w:r>
        <w:t xml:space="preserve">only</w:t>
      </w:r>
      <w:r>
        <w:t xml:space="preserve"> </w:t>
      </w:r>
      <w:r>
        <w:rPr>
          <w:b/>
          <w:bCs/>
        </w:rPr>
        <w:t xml:space="preserve">“</w:t>
      </w:r>
      <w:r>
        <w:rPr>
          <w:b/>
          <w:bCs/>
        </w:rPr>
        <w:t xml:space="preserve">SPARK Learning System™</w:t>
      </w:r>
      <w:r>
        <w:rPr>
          <w:b/>
          <w:bCs/>
        </w:rPr>
        <w:t xml:space="preserve">”</w:t>
      </w:r>
      <w:r>
        <w:t xml:space="preserve"> </w:t>
      </w:r>
      <w:r>
        <w:t xml:space="preserve">carries the ™ — never</w:t>
      </w:r>
      <w:r>
        <w:t xml:space="preserve"> </w:t>
      </w:r>
      <w:r>
        <w:t xml:space="preserve">“</w:t>
      </w:r>
      <w:r>
        <w:t xml:space="preserve">Ignite Curiosity™.</w:t>
      </w:r>
      <w:r>
        <w:t xml:space="preserve">”</w:t>
      </w:r>
    </w:p>
    <w:p>
      <w:pPr>
        <w:pStyle w:val="Compact"/>
        <w:numPr>
          <w:ilvl w:val="0"/>
          <w:numId w:val="1006"/>
        </w:numPr>
      </w:pPr>
      <w:r>
        <w:t xml:space="preserve">All Launchpad docx files were migrated and verified clean of old terms (0 old terms across the scanned folders).</w:t>
      </w:r>
      <w:r>
        <w:t xml:space="preserve"> </w:t>
      </w:r>
      <w:r>
        <w:rPr>
          <w:rStyle w:val="VerbatimChar"/>
        </w:rPr>
        <w:t xml:space="preserve">curiositycorp.org</w:t>
      </w:r>
      <w:r>
        <w:t xml:space="preserve"> </w:t>
      </w:r>
      <w:r>
        <w:t xml:space="preserve">added to the Innovators materials (11 references).</w:t>
      </w:r>
    </w:p>
    <w:p>
      <w:pPr>
        <w:pStyle w:val="Compact"/>
        <w:numPr>
          <w:ilvl w:val="0"/>
          <w:numId w:val="1006"/>
        </w:numPr>
      </w:pPr>
      <w:r>
        <w:t xml:space="preserve">The curriculum repo’s alignment map (</w:t>
      </w:r>
      <w:hyperlink r:id="rId27">
        <w:r>
          <w:rPr>
            <w:rStyle w:val="Hyperlink"/>
          </w:rPr>
          <w:t xml:space="preserve">align/concept-to-system-map.md</w:t>
        </w:r>
      </w:hyperlink>
      <w:r>
        <w:t xml:space="preserve">) was updated to the authoritative Launchpad program family: Ignite Curiosity, the Framework Family (DREAM Playbook, O.R.B.I.T.A.L. Framework™, A.N.D.R.O.I.D. Ops™, GROWTH Accelerator™, SuperNova Strategy), the Innovator’s Launchpad levels L1–L5, the Ignition Legacy Track (M1–M9), The Ascension, and The Transcendence.</w:t>
      </w:r>
    </w:p>
    <w:bookmarkEnd w:id="28"/>
    <w:bookmarkStart w:id="29" w:name="X1fcadb17d31b50efbf554e9fffb2aa0307bbc3b"/>
    <w:p>
      <w:pPr>
        <w:pStyle w:val="Heading2"/>
      </w:pPr>
      <w:r>
        <w:t xml:space="preserve">2026-08-04 — Launchpad Sandbox distribution layer tidied (sandbox)</w:t>
      </w:r>
    </w:p>
    <w:p>
      <w:pPr>
        <w:pStyle w:val="FirstParagraph"/>
      </w:pPr>
      <w:r>
        <w:t xml:space="preserve">The SharePoint distribution layer (</w:t>
      </w:r>
      <w:r>
        <w:rPr>
          <w:rStyle w:val="VerbatimChar"/>
        </w:rPr>
        <w:t xml:space="preserve">General/Launchpad Sandbox</w:t>
      </w:r>
      <w:r>
        <w:t xml:space="preserve">) was organized to make the space navigable:</w:t>
      </w:r>
      <w:r>
        <w:t xml:space="preserve"> </w:t>
      </w:r>
      <w:r>
        <w:rPr>
          <w:b/>
          <w:bCs/>
        </w:rPr>
        <w:t xml:space="preserve">three</w:t>
      </w:r>
      <w:r>
        <w:rPr>
          <w:b/>
          <w:bCs/>
        </w:rPr>
        <w:t xml:space="preserve"> </w:t>
      </w:r>
      <w:r>
        <w:rPr>
          <w:b/>
          <w:bCs/>
        </w:rPr>
        <w:t xml:space="preserve">“</w:t>
      </w:r>
      <w:r>
        <w:rPr>
          <w:b/>
          <w:bCs/>
        </w:rPr>
        <w:t xml:space="preserve">0.</w:t>
      </w:r>
      <w:r>
        <w:rPr>
          <w:b/>
          <w:bCs/>
        </w:rPr>
        <w:t xml:space="preserve">”</w:t>
      </w:r>
      <w:r>
        <w:rPr>
          <w:b/>
          <w:bCs/>
        </w:rPr>
        <w:t xml:space="preserve"> </w:t>
      </w:r>
      <w:r>
        <w:rPr>
          <w:b/>
          <w:bCs/>
        </w:rPr>
        <w:t xml:space="preserve">prefix docs added</w:t>
      </w:r>
      <w:r>
        <w:t xml:space="preserve"> </w:t>
      </w:r>
      <w:r>
        <w:t xml:space="preserve">(numbered entry documents that set the order of the space), and</w:t>
      </w:r>
      <w:r>
        <w:t xml:space="preserve"> </w:t>
      </w:r>
      <w:r>
        <w:rPr>
          <w:b/>
          <w:bCs/>
        </w:rPr>
        <w:t xml:space="preserve">four dead files archived</w:t>
      </w:r>
      <w:r>
        <w:t xml:space="preserve"> </w:t>
      </w:r>
      <w:r>
        <w:t xml:space="preserve">to a new</w:t>
      </w:r>
      <w:r>
        <w:t xml:space="preserve"> </w:t>
      </w:r>
      <w:r>
        <w:rPr>
          <w:rStyle w:val="VerbatimChar"/>
          <w:b/>
          <w:bCs/>
        </w:rPr>
        <w:t xml:space="preserve">_archive/</w:t>
      </w:r>
      <w:r>
        <w:t xml:space="preserve"> </w:t>
      </w:r>
      <w:r>
        <w:t xml:space="preserve">folder. The SharePoint folder remains the</w:t>
      </w:r>
      <w:r>
        <w:t xml:space="preserve"> </w:t>
      </w:r>
      <w:r>
        <w:rPr>
          <w:i/>
          <w:iCs/>
        </w:rPr>
        <w:t xml:space="preserve">distribution</w:t>
      </w:r>
      <w:r>
        <w:t xml:space="preserve"> </w:t>
      </w:r>
      <w:r>
        <w:t xml:space="preserve">layer only — this repo is the source of truth.</w:t>
      </w:r>
    </w:p>
    <w:bookmarkEnd w:id="29"/>
    <w:bookmarkStart w:id="30" w:name="curriculum-repo-built-repo"/>
    <w:p>
      <w:pPr>
        <w:pStyle w:val="Heading2"/>
      </w:pPr>
      <w:r>
        <w:t xml:space="preserve">2026-08-04 — Curriculum repo built (repo)</w:t>
      </w:r>
    </w:p>
    <w:p>
      <w:pPr>
        <w:pStyle w:val="FirstParagraph"/>
      </w:pPr>
      <w:r>
        <w:t xml:space="preserve">The</w:t>
      </w:r>
      <w:r>
        <w:t xml:space="preserve"> </w:t>
      </w:r>
      <w:r>
        <w:rPr>
          <w:rStyle w:val="VerbatimChar"/>
        </w:rPr>
        <w:t xml:space="preserve">DreamLimited/dream-curriculum</w:t>
      </w:r>
      <w:r>
        <w:t xml:space="preserve"> </w:t>
      </w:r>
      <w:r>
        <w:t xml:space="preserve">repo was created as the human-facing, concept-first rendering of the Dream pursuit doctrine (</w:t>
      </w:r>
      <w:r>
        <w:t xml:space="preserve">“</w:t>
      </w:r>
      <w:r>
        <w:t xml:space="preserve">one doctrine, two renderings</w:t>
      </w:r>
      <w:r>
        <w:t xml:space="preserve">”</w:t>
      </w:r>
      <w:r>
        <w:t xml:space="preserve"> </w:t>
      </w:r>
      <w:r>
        <w:t xml:space="preserve">— the DNA corpus is the machine rendering):</w:t>
      </w:r>
    </w:p>
    <w:p>
      <w:pPr>
        <w:pStyle w:val="Compact"/>
        <w:numPr>
          <w:ilvl w:val="0"/>
          <w:numId w:val="1007"/>
        </w:numPr>
      </w:pPr>
      <w:r>
        <w:rPr>
          <w:rStyle w:val="VerbatimChar"/>
          <w:b/>
          <w:bCs/>
        </w:rPr>
        <w:t xml:space="preserve">doctrine/</w:t>
      </w:r>
      <w:r>
        <w:t xml:space="preserve"> </w:t>
      </w:r>
      <w:r>
        <w:t xml:space="preserve">— eight durable concepts, each ending with a 3-question self-check: where the money lives, RFPs/NOFOs and solicitations, the pursuit pipeline, gates and governance, scoring and price-to-win, the ORBITAL business structure, the Dream → ORBITAL → World lifecycle, and the stack-agnostic principle.</w:t>
      </w:r>
    </w:p>
    <w:p>
      <w:pPr>
        <w:pStyle w:val="Compact"/>
        <w:numPr>
          <w:ilvl w:val="0"/>
          <w:numId w:val="1007"/>
        </w:numPr>
      </w:pPr>
      <w:r>
        <w:rPr>
          <w:rStyle w:val="VerbatimChar"/>
          <w:b/>
          <w:bCs/>
        </w:rPr>
        <w:t xml:space="preserve">literacy/</w:t>
      </w:r>
      <w:r>
        <w:t xml:space="preserve"> </w:t>
      </w:r>
      <w:r>
        <w:t xml:space="preserve">— the reference layer: glossary, acronym decoder, how-to-read-an-RFP, how-to-read-a-NOFO, where-the-money-flows.</w:t>
      </w:r>
    </w:p>
    <w:p>
      <w:pPr>
        <w:pStyle w:val="Compact"/>
        <w:numPr>
          <w:ilvl w:val="0"/>
          <w:numId w:val="1007"/>
        </w:numPr>
      </w:pPr>
      <w:r>
        <w:rPr>
          <w:rStyle w:val="VerbatimChar"/>
          <w:b/>
          <w:bCs/>
        </w:rPr>
        <w:t xml:space="preserve">modules/</w:t>
      </w:r>
      <w:r>
        <w:t xml:space="preserve"> </w:t>
      </w:r>
      <w:r>
        <w:t xml:space="preserve">— the module template, the six-session shared core, and three audience tracks (Strategic Initiative, MBA, MPA).</w:t>
      </w:r>
    </w:p>
    <w:p>
      <w:pPr>
        <w:pStyle w:val="Compact"/>
        <w:numPr>
          <w:ilvl w:val="0"/>
          <w:numId w:val="1007"/>
        </w:numPr>
      </w:pPr>
      <w:r>
        <w:rPr>
          <w:rStyle w:val="VerbatimChar"/>
          <w:b/>
          <w:bCs/>
        </w:rPr>
        <w:t xml:space="preserve">course/</w:t>
      </w:r>
      <w:r>
        <w:t xml:space="preserve"> </w:t>
      </w:r>
      <w:r>
        <w:t xml:space="preserve">— the 14-week syllabus, the assessments and rubric, and the capstone brief.</w:t>
      </w:r>
    </w:p>
    <w:p>
      <w:pPr>
        <w:pStyle w:val="Compact"/>
        <w:numPr>
          <w:ilvl w:val="0"/>
          <w:numId w:val="1007"/>
        </w:numPr>
      </w:pPr>
      <w:r>
        <w:rPr>
          <w:rStyle w:val="VerbatimChar"/>
          <w:b/>
          <w:bCs/>
        </w:rPr>
        <w:t xml:space="preserve">case-study/ravonics.md</w:t>
      </w:r>
      <w:r>
        <w:t xml:space="preserve"> </w:t>
      </w:r>
      <w:r>
        <w:t xml:space="preserve">— the shared canary company (HUBZone, UEI</w:t>
      </w:r>
      <w:r>
        <w:t xml:space="preserve"> </w:t>
      </w:r>
      <w:r>
        <w:rPr>
          <w:rStyle w:val="VerbatimChar"/>
        </w:rPr>
        <w:t xml:space="preserve">YCBDVKN1A9G7</w:t>
      </w:r>
      <w:r>
        <w:t xml:space="preserve">, CAGE</w:t>
      </w:r>
      <w:r>
        <w:t xml:space="preserve"> </w:t>
      </w:r>
      <w:r>
        <w:rPr>
          <w:rStyle w:val="VerbatimChar"/>
        </w:rPr>
        <w:t xml:space="preserve">20DS8</w:t>
      </w:r>
      <w:r>
        <w:t xml:space="preserve">, four NAICS codes, INSTAR Lab STTR partner).</w:t>
      </w:r>
    </w:p>
    <w:p>
      <w:pPr>
        <w:pStyle w:val="Compact"/>
        <w:numPr>
          <w:ilvl w:val="0"/>
          <w:numId w:val="1007"/>
        </w:numPr>
      </w:pPr>
      <w:r>
        <w:rPr>
          <w:rStyle w:val="VerbatimChar"/>
          <w:b/>
          <w:bCs/>
        </w:rPr>
        <w:t xml:space="preserve">align/concept-to-system-map.md</w:t>
      </w:r>
      <w:r>
        <w:t xml:space="preserve"> </w:t>
      </w:r>
      <w:r>
        <w:t xml:space="preserve">— the concept ↔ fellowship ↔ DNA artifact map (DNA v0.18.1), plus the degree ↔ fellowship ↔ course crosswalk.</w:t>
      </w:r>
    </w:p>
    <w:p>
      <w:pPr>
        <w:pStyle w:val="Compact"/>
        <w:numPr>
          <w:ilvl w:val="0"/>
          <w:numId w:val="1007"/>
        </w:numPr>
      </w:pPr>
      <w:r>
        <w:rPr>
          <w:rStyle w:val="VerbatimChar"/>
        </w:rPr>
        <w:t xml:space="preserve">render/</w:t>
      </w:r>
      <w:r>
        <w:t xml:space="preserve"> </w:t>
      </w:r>
      <w:r>
        <w:t xml:space="preserve">scripts and</w:t>
      </w:r>
      <w:r>
        <w:t xml:space="preserve"> </w:t>
      </w:r>
      <w:r>
        <w:rPr>
          <w:rStyle w:val="VerbatimChar"/>
        </w:rPr>
        <w:t xml:space="preserve">dist/</w:t>
      </w:r>
      <w:r>
        <w:t xml:space="preserve"> </w:t>
      </w:r>
      <w:r>
        <w:t xml:space="preserve">output for .docx/.pdf publishing.</w:t>
      </w:r>
    </w:p>
    <w:p>
      <w:r>
        <w:pict>
          <v:rect style="width:0;height:1.5pt" o:hralign="center" o:hrstd="t" o:hr="t"/>
        </w:pict>
      </w:r>
    </w:p>
    <w:bookmarkEnd w:id="30"/>
    <w:bookmarkStart w:id="31" w:name="template-for-new-entries"/>
    <w:p>
      <w:pPr>
        <w:pStyle w:val="Heading2"/>
      </w:pPr>
      <w:r>
        <w:t xml:space="preserve">Template for new entries</w:t>
      </w:r>
    </w:p>
    <w:p>
      <w:pPr>
        <w:pStyle w:val="SourceCode"/>
      </w:pPr>
      <w:r>
        <w:rPr>
          <w:rStyle w:val="FunctionTok"/>
        </w:rPr>
        <w:t xml:space="preserve">## YYYY-MM-DD — Short title (repo / sandbox / both)</w:t>
      </w:r>
      <w:r>
        <w:br/>
      </w:r>
      <w:r>
        <w:br/>
      </w:r>
      <w:r>
        <w:rPr>
          <w:rStyle w:val="SpecialStringTok"/>
        </w:rPr>
        <w:t xml:space="preserve">- </w:t>
      </w:r>
      <w:r>
        <w:rPr>
          <w:rStyle w:val="NormalTok"/>
        </w:rPr>
        <w:t xml:space="preserve">What changed, in one or two lines.</w:t>
      </w:r>
      <w:r>
        <w:br/>
      </w:r>
      <w:r>
        <w:rPr>
          <w:rStyle w:val="SpecialStringTok"/>
        </w:rPr>
        <w:t xml:space="preserve">- </w:t>
      </w:r>
      <w:r>
        <w:rPr>
          <w:rStyle w:val="NormalTok"/>
        </w:rPr>
        <w:t xml:space="preserve">Why it changed, if it is not obvious.</w:t>
      </w:r>
      <w:r>
        <w:br/>
      </w:r>
      <w:r>
        <w:rPr>
          <w:rStyle w:val="SpecialStringTok"/>
        </w:rPr>
        <w:t xml:space="preserve">- </w:t>
      </w:r>
      <w:r>
        <w:rPr>
          <w:rStyle w:val="NormalTok"/>
        </w:rPr>
        <w:t xml:space="preserve">Any follow-ups that were not done in the same change (be honest).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24" Type="http://schemas.openxmlformats.org/officeDocument/2006/relationships/hyperlink" Target="doctrine/08-tools-change-concepts-dont.md" TargetMode="External"/><Relationship Id="rId5" Type="http://schemas.openxmlformats.org/officeDocument/2006/relationships/fontTable" Target="fontTable.xml"/><Relationship Id="rId28" Type="http://schemas.openxmlformats.org/officeDocument/2006/relationships/customXml" Target="../customXml/item1.xml"/><Relationship Id="rId4" Type="http://schemas.openxmlformats.org/officeDocument/2006/relationships/webSettings" Target="webSettings.xml"/><Relationship Id="rId27" Type="http://schemas.openxmlformats.org/officeDocument/2006/relationships/hyperlink" Target="align/concept-to-system-map.md" TargetMode="External"/><Relationship Id="rId30"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27" Target="align/concept-to-system-map.md" TargetMode="External" /><Relationship Type="http://schemas.openxmlformats.org/officeDocument/2006/relationships/hyperlink" Id="rId24" Target="doctrine/08-tools-change-concepts-dont.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58AA8EDE-2ED2-4D49-93C2-E528C900F079}"/>
</file>

<file path=customXml/itemProps2.xml><?xml version="1.0" encoding="utf-8"?>
<ds:datastoreItem xmlns:ds="http://schemas.openxmlformats.org/officeDocument/2006/customXml" ds:itemID="{9A492600-738B-4FD0-8367-D72F223FA3F6}"/>
</file>

<file path=customXml/itemProps3.xml><?xml version="1.0" encoding="utf-8"?>
<ds:datastoreItem xmlns:ds="http://schemas.openxmlformats.org/officeDocument/2006/customXml" ds:itemID="{AD7EE0E7-C7F8-4A7E-B0C6-055172ECEC84}"/>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2026-08-05T19:49:39Z</dcterms:created>
  <dcterms:modified xsi:type="dcterms:W3CDTF">2026-08-05T19:49:39Z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