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78c8307d837ee80c88eb5079dde5a010397ffd"/>
    <w:p>
      <w:pPr>
        <w:pStyle w:val="Heading1"/>
      </w:pPr>
      <w:r>
        <w:t xml:space="preserve">Case 03 — The Team That Was Smarter Than Its Size</w:t>
      </w:r>
    </w:p>
    <w:p>
      <w:pPr>
        <w:pStyle w:val="FirstParagraph"/>
      </w:pPr>
      <w:r>
        <w:rPr>
          <w:i/>
          <w:iCs/>
        </w:rPr>
        <w:t xml:space="preserve">The win that a small firm could not have achieved alone — and did not try to. Lesson: when you cannot grow capacity in time, you can buy it with partnership — but a teaming arrangement only wins if the roles are real.</w:t>
      </w:r>
    </w:p>
    <w:p>
      <w:pPr>
        <w:pStyle w:val="BlockText"/>
      </w:pPr>
      <w:r>
        <w:t xml:space="preserve">This case is a composite, patterned on publicly available debriefs and press. No company, award, or agency in it is real.</w:t>
      </w:r>
    </w:p>
    <w:bookmarkStart w:id="20" w:name="situation"/>
    <w:p>
      <w:pPr>
        <w:pStyle w:val="Heading2"/>
      </w:pPr>
      <w:r>
        <w:t xml:space="preserve">Situation</w:t>
      </w:r>
    </w:p>
    <w:p>
      <w:pPr>
        <w:pStyle w:val="FirstParagraph"/>
      </w:pPr>
      <w:r>
        <w:t xml:space="preserve">A small firm — a few dozen people, deeply expert in its narrow mission — had the two things that most open doors in the federal market: a certification that placed it in a set-aside pool, and subject-matter expertise that genuinely few firms could match. It had the third thing too, which is the thing small firms least like to admit: it did not have the capacity to win what its expertise deserved.</w:t>
      </w:r>
    </w:p>
    <w:p>
      <w:pPr>
        <w:pStyle w:val="BodyText"/>
      </w:pPr>
      <w:r>
        <w:t xml:space="preserve">The firm had tried before. Eighteen months earlier it had bid solo on a comparable opportunity and lost, and the loss had been instructive in the worst way: the debrief said the technical approach was strong, the past performance was too small to prove it could deliver at the required scale, and the management plan did not show enough bench to staff the work. The firm had the mission answer. It did not have the</w:t>
      </w:r>
      <w:r>
        <w:t xml:space="preserve"> </w:t>
      </w:r>
      <w:r>
        <w:rPr>
          <w:i/>
          <w:iCs/>
        </w:rPr>
        <w:t xml:space="preserve">credible scale</w:t>
      </w:r>
      <w:r>
        <w:t xml:space="preserve">.</w:t>
      </w:r>
    </w:p>
    <w:bookmarkEnd w:id="20"/>
    <w:bookmarkStart w:id="21" w:name="the-solicitation"/>
    <w:p>
      <w:pPr>
        <w:pStyle w:val="Heading2"/>
      </w:pPr>
      <w:r>
        <w:t xml:space="preserve">The solicitation</w:t>
      </w:r>
    </w:p>
    <w:p>
      <w:pPr>
        <w:pStyle w:val="FirstParagraph"/>
      </w:pPr>
      <w:r>
        <w:t xml:space="preserve">A small-business set-aside for a broad, multi-region service requirement — the kind of scope that assumed a contractor could staff several locations at once, hold a service-disabled or economically-disadvantaged certification, and show past performance on work of comparable size and complexity. The evaluation factors were technical approach, management approach, past performance, and price — with past performance weighted heavily, because the work was ongoing and the agency had been burned before by teams that won and then could not staff.</w:t>
      </w:r>
    </w:p>
    <w:p>
      <w:pPr>
        <w:pStyle w:val="BodyText"/>
      </w:pPr>
      <w:r>
        <w:t xml:space="preserve">The firm could describe the mission flawlessly. It could not, honestly, show a record of delivering it at this scale. It had never run a multi-region contract. It did not have the facilities, the back office, or the bench.</w:t>
      </w:r>
    </w:p>
    <w:bookmarkEnd w:id="21"/>
    <w:bookmarkStart w:id="22" w:name="the-competitors"/>
    <w:p>
      <w:pPr>
        <w:pStyle w:val="Heading2"/>
      </w:pPr>
      <w:r>
        <w:t xml:space="preserve">The competitors</w:t>
      </w:r>
    </w:p>
    <w:p>
      <w:pPr>
        <w:pStyle w:val="FirstParagraph"/>
      </w:pPr>
      <w:r>
        <w:t xml:space="preserve">The pool was small-business-only, so the giant primes were out. But the pool included small businesses that had, over years, grown the exact capacity the firm lacked: two or three mid-size firms with real past performance on large task orders and the operational muscle to staff multi-region work. Against them, the firm’s expertise alone was not enough. Its certification was an entry ticket, not a win.</w:t>
      </w:r>
    </w:p>
    <w:bookmarkEnd w:id="22"/>
    <w:bookmarkStart w:id="23" w:name="the-decision"/>
    <w:p>
      <w:pPr>
        <w:pStyle w:val="Heading2"/>
      </w:pPr>
      <w:r>
        <w:t xml:space="preserve">The decision</w:t>
      </w:r>
    </w:p>
    <w:p>
      <w:pPr>
        <w:pStyle w:val="FirstParagraph"/>
      </w:pPr>
      <w:r>
        <w:t xml:space="preserve">The firm’s leadership made a decision that most small firms resist: it did not bid alone. Instead it formed a joint venture with a larger partner — a firm with the bench, the back office, and the past performance — under the certification that kept the JV eligible for the set-aside pool. The arrangement was structured so the small firm led the mission content and the partner led the delivery machinery: the small firm’s experts would define the technical approach and own the customer relationship at the mission level; the partner would supply the staff, the facilities, and the management systems. It was a real division of labor, written down before the proposal was drafted, not a papering exercise assembled to satisfy a rule.</w:t>
      </w:r>
    </w:p>
    <w:bookmarkEnd w:id="23"/>
    <w:bookmarkStart w:id="24" w:name="what-actually-happened"/>
    <w:p>
      <w:pPr>
        <w:pStyle w:val="Heading2"/>
      </w:pPr>
      <w:r>
        <w:t xml:space="preserve">What actually happened</w:t>
      </w:r>
    </w:p>
    <w:p>
      <w:pPr>
        <w:pStyle w:val="FirstParagraph"/>
      </w:pPr>
      <w:r>
        <w:t xml:space="preserve">The JV won. The award was not a squeaker. The debrief credited the team’s past-performance record — which, because of the partner, now included work of comparable size — and the management approach, which read like a plan rather than a promise. And the debrief made one point the small firm’s leadership took to heart: the evaluators had been watching, specifically, for</w:t>
      </w:r>
      <w:r>
        <w:t xml:space="preserve"> </w:t>
      </w:r>
      <w:r>
        <w:t xml:space="preserve">“</w:t>
      </w:r>
      <w:r>
        <w:t xml:space="preserve">pass-through</w:t>
      </w:r>
      <w:r>
        <w:t xml:space="preserve">”</w:t>
      </w:r>
      <w:r>
        <w:t xml:space="preserve"> </w:t>
      </w:r>
      <w:r>
        <w:t xml:space="preserve">teaming — arrangements where a large firm hides behind a small firm’s certification and the small firm’s role is a fiction. The JV passed that test because the roles were real and the proposal made them visible. The small firm did not disappear into the partner; it was plainly in charge of the thing it was actually best at.</w:t>
      </w:r>
    </w:p>
    <w:bookmarkEnd w:id="24"/>
    <w:bookmarkStart w:id="25" w:name="the-debrief-lesson"/>
    <w:p>
      <w:pPr>
        <w:pStyle w:val="Heading2"/>
      </w:pPr>
      <w:r>
        <w:t xml:space="preserve">The debrief lesson</w:t>
      </w:r>
    </w:p>
    <w:p>
      <w:pPr>
        <w:pStyle w:val="FirstParagraph"/>
      </w:pPr>
      <w:r>
        <w:t xml:space="preserve">The firm’s first solo loss and its JV win were decided by the same evaluation factor. Solo, the past-performance record was too small to prove scale. In the JV, the partner’s record supplied the scale while the firm supplied the mission expertise, and the combination was evaluated as a coherent team — because it was one. Teaming did not dilute the small firm’s identity. It made the small firm’s expertise winnable by attaching it to the capacity the market required.</w:t>
      </w:r>
    </w:p>
    <w:bookmarkEnd w:id="25"/>
    <w:bookmarkStart w:id="27" w:name="what-this-teaches"/>
    <w:p>
      <w:pPr>
        <w:pStyle w:val="Heading2"/>
      </w:pPr>
      <w:r>
        <w:t xml:space="preserve">What this teaches</w:t>
      </w:r>
    </w:p>
    <w:p>
      <w:pPr>
        <w:pStyle w:val="BlockText"/>
      </w:pPr>
      <w:r>
        <w:rPr>
          <w:b/>
          <w:bCs/>
        </w:rPr>
        <w:t xml:space="preserve">Capacity can be bought with partnership when it cannot be grown in time — but a teaming arrangement only wins if the roles are real, the division of labor is visible, and the small firm keeps the role only it can play. The market punishes papered teaming as surely as it rewards real teaming.</w:t>
      </w:r>
    </w:p>
    <w:p>
      <w:pPr>
        <w:pStyle w:val="FirstParagraph"/>
      </w:pPr>
      <w:r>
        <w:t xml:space="preserve">This is the honest answer to the capacity constraint every small firm faces (</w:t>
      </w:r>
      <w:hyperlink r:id="rId26">
        <w:r>
          <w:rPr>
            <w:rStyle w:val="Hyperlink"/>
          </w:rPr>
          <w:t xml:space="preserve">doctrine/09</w:t>
        </w:r>
      </w:hyperlink>
      <w:r>
        <w:t xml:space="preserve">): you do not always need to</w:t>
      </w:r>
      <w:r>
        <w:t xml:space="preserve"> </w:t>
      </w:r>
      <w:r>
        <w:rPr>
          <w:i/>
          <w:iCs/>
        </w:rPr>
        <w:t xml:space="preserve">be</w:t>
      </w:r>
      <w:r>
        <w:t xml:space="preserve"> </w:t>
      </w:r>
      <w:r>
        <w:t xml:space="preserve">bigger. You need to be credibly able to deliver, and a genuine joint venture is a legitimate way to become that — without surrendering the expertise that makes you valuable in the first place. The trap is the mirror image: a teaming arrangement assembled for the checklist, where no one has real responsibilities, will be seen for what it is, and the debrief will name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doctrine/09-capture-and-competitive-strategy.md" TargetMode="Externa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28" Type="http://schemas.openxmlformats.org/officeDocument/2006/relationships/customXml" Target="../customXml/item2.xml"/><Relationship Id="rId4" Type="http://schemas.openxmlformats.org/officeDocument/2006/relationships/webSettings" Target="webSettings.xml"/><Relationship Id="rId27"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6" Target="../doctrine/09-capture-and-competitive-strategy.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F7A5BB90-8C6C-4C45-8E29-BD0567375A13}"/>
</file>

<file path=customXml/itemProps2.xml><?xml version="1.0" encoding="utf-8"?>
<ds:datastoreItem xmlns:ds="http://schemas.openxmlformats.org/officeDocument/2006/customXml" ds:itemID="{8E0EAA7D-6A8B-403E-9FC4-9A5DD3129884}"/>
</file>

<file path=customXml/itemProps3.xml><?xml version="1.0" encoding="utf-8"?>
<ds:datastoreItem xmlns:ds="http://schemas.openxmlformats.org/officeDocument/2006/customXml" ds:itemID="{DB7BFA61-EAAC-46AC-9C4B-48FA8A315366}"/>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2026-08-05T17:25:24Z</dcterms:created>
  <dcterms:modified xsi:type="dcterms:W3CDTF">2026-08-05T17:25:24Z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