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cd0d89a40a10486adfacfc3ee26d10a53b63fad"/>
    <w:p>
      <w:pPr>
        <w:pStyle w:val="Heading1"/>
      </w:pPr>
      <w:r>
        <w:t xml:space="preserve">Case 01 — The Compliance Matrix That Won the IDIQ</w:t>
      </w:r>
    </w:p>
    <w:p>
      <w:pPr>
        <w:pStyle w:val="FirstParagraph"/>
      </w:pPr>
      <w:r>
        <w:rPr>
          <w:i/>
          <w:iCs/>
        </w:rPr>
        <w:t xml:space="preserve">The win that was won in the quiet weeks, not in the all-nighter. Lesson: compliance is not paperwork — it is the difference between being considered and being eliminated.</w:t>
      </w:r>
    </w:p>
    <w:p>
      <w:pPr>
        <w:pStyle w:val="BlockText"/>
      </w:pPr>
      <w:r>
        <w:t xml:space="preserve">This case is a composite, patterned on publicly available debriefs and press. No company, award, or agency in it is real.</w:t>
      </w:r>
    </w:p>
    <w:bookmarkStart w:id="20" w:name="situation"/>
    <w:p>
      <w:pPr>
        <w:pStyle w:val="Heading2"/>
      </w:pPr>
      <w:r>
        <w:t xml:space="preserve">Situation</w:t>
      </w:r>
    </w:p>
    <w:p>
      <w:pPr>
        <w:pStyle w:val="FirstParagraph"/>
      </w:pPr>
      <w:r>
        <w:t xml:space="preserve">A small engineering firm in the Mid-Atlantic — call it sixty people, mostly mechanical and electrical engineers — had spent a decade working as a subcontractor to large primes on federal facilities work. It was good at its craft and invisible in the market: its name appeared deep in other companies’ proposals, its past performance was owned by the primes it served, and its own SAM.gov record was a formality it maintained out of habit.</w:t>
      </w:r>
    </w:p>
    <w:p>
      <w:pPr>
        <w:pStyle w:val="BodyText"/>
      </w:pPr>
      <w:r>
        <w:t xml:space="preserve">Then a set-aside opportunity appeared that it could not ignore: an indefinite-delivery/indefinite-quantity (IDIQ) contract for facilities-engineering support at a cluster of military installations. The ceiling was large — large enough to change the firm. The pool was small-business only, which meant the firm’s size was not a weakness. And the firm’s founder had a conviction the team had never tested: that the reason small firms like theirs kept losing to the same three primes was not capability. It was that the primes ran a discipline the small firms did not.</w:t>
      </w:r>
    </w:p>
    <w:bookmarkEnd w:id="20"/>
    <w:bookmarkStart w:id="21" w:name="the-solicitation"/>
    <w:p>
      <w:pPr>
        <w:pStyle w:val="Heading2"/>
      </w:pPr>
      <w:r>
        <w:t xml:space="preserve">The solicitation</w:t>
      </w:r>
    </w:p>
    <w:p>
      <w:pPr>
        <w:pStyle w:val="FirstParagraph"/>
      </w:pPr>
      <w:r>
        <w:t xml:space="preserve">An IDIQ for facilities-engineering support: design, project management, and on-call engineering services across a defined geographic region. Multiple awards were available, so a firm did not need to finish first — it needed to finish inside the winning band. The evaluation was classic Section M: three technical factors (technical approach, management approach, past performance) evaluated for best value, with price a significant but not dominant factor. Section L, the instructions, ran to dozens of pages, including a required outline, page limits, and a list of subsections every proposal had to address.</w:t>
      </w:r>
    </w:p>
    <w:p>
      <w:pPr>
        <w:pStyle w:val="BodyText"/>
      </w:pPr>
      <w:r>
        <w:t xml:space="preserve">The deadline was sixty days out. The firm had never submitted a prime proposal of this size.</w:t>
      </w:r>
    </w:p>
    <w:bookmarkEnd w:id="21"/>
    <w:bookmarkStart w:id="22" w:name="the-competitors"/>
    <w:p>
      <w:pPr>
        <w:pStyle w:val="Heading2"/>
      </w:pPr>
      <w:r>
        <w:t xml:space="preserve">The competitors</w:t>
      </w:r>
    </w:p>
    <w:p>
      <w:pPr>
        <w:pStyle w:val="FirstParagraph"/>
      </w:pPr>
      <w:r>
        <w:t xml:space="preserve">The field was what a small-business set-aside usually attracts: several firms the same size as the would-be prime, most of whom would treat the proposal as a re-branded capability statement; one or two firms with real bench depth and genuine past performance on similar work; and a handful of firms whose only strategy was to be cheap. The firm’s founder looked at the field and made a call that shaped everything:</w:t>
      </w:r>
      <w:r>
        <w:t xml:space="preserve"> </w:t>
      </w:r>
      <w:r>
        <w:rPr>
          <w:i/>
          <w:iCs/>
        </w:rPr>
        <w:t xml:space="preserve">we cannot out-staff them and we cannot out-cheap them, so we will out-discipline them.</w:t>
      </w:r>
    </w:p>
    <w:bookmarkEnd w:id="22"/>
    <w:bookmarkStart w:id="23" w:name="the-decision"/>
    <w:p>
      <w:pPr>
        <w:pStyle w:val="Heading2"/>
      </w:pPr>
      <w:r>
        <w:t xml:space="preserve">The decision</w:t>
      </w:r>
    </w:p>
    <w:p>
      <w:pPr>
        <w:pStyle w:val="FirstParagraph"/>
      </w:pPr>
      <w:r>
        <w:t xml:space="preserve">The firm bid — with a strategy that was almost embarrassingly unglamorous. It picked a single win theme —</w:t>
      </w:r>
      <w:r>
        <w:t xml:space="preserve"> </w:t>
      </w:r>
      <w:r>
        <w:rPr>
          <w:i/>
          <w:iCs/>
        </w:rPr>
        <w:t xml:space="preserve">the region’s installations, understood</w:t>
      </w:r>
      <w:r>
        <w:t xml:space="preserve"> </w:t>
      </w:r>
      <w:r>
        <w:t xml:space="preserve">— and committed to making that theme visible on every page the evaluator would read. It wrote two or three discriminators it could actually prove: engineers licensed in the state, a decade of work on that exact region’s systems, and a staffing plan that kept a senior person on site. Everything else it classified as a baseline and did not pretend otherwise.</w:t>
      </w:r>
    </w:p>
    <w:p>
      <w:pPr>
        <w:pStyle w:val="BodyText"/>
      </w:pPr>
      <w:r>
        <w:t xml:space="preserve">Then came the discipline. A compliance matrix was built on day one: every requirement in Section L, every mandatory subsection, every page limit, transcribed into a spreadsheet with a column for the section that would answer it. The matrix was checked, re-checked, and checked against the final draft in the last week — not as a nicety, but as the gate for submission. The firm treated</w:t>
      </w:r>
      <w:r>
        <w:t xml:space="preserve"> </w:t>
      </w:r>
      <w:r>
        <w:t xml:space="preserve">“</w:t>
      </w:r>
      <w:r>
        <w:t xml:space="preserve">the solicitation is a contract</w:t>
      </w:r>
      <w:r>
        <w:t xml:space="preserve">”</w:t>
      </w:r>
      <w:r>
        <w:t xml:space="preserve"> </w:t>
      </w:r>
      <w:r>
        <w:t xml:space="preserve">as literally true, because it is.</w:t>
      </w:r>
    </w:p>
    <w:bookmarkEnd w:id="23"/>
    <w:bookmarkStart w:id="24" w:name="what-actually-happened"/>
    <w:p>
      <w:pPr>
        <w:pStyle w:val="Heading2"/>
      </w:pPr>
      <w:r>
        <w:t xml:space="preserve">What actually happened</w:t>
      </w:r>
    </w:p>
    <w:p>
      <w:pPr>
        <w:pStyle w:val="FirstParagraph"/>
      </w:pPr>
      <w:r>
        <w:t xml:space="preserve">The firm won a spot on the IDIQ. It was not first in the ranking, and it did not need to be. In the post-award conference, the contracting officer offered a piece of feedback that the founder never forgot: most of the field had not actually addressed a required subsection of Section L — one buried clause about regional staffing commitments. Several proposals that were otherwise competitive had been considered noncompliant on that clause alone and were eliminated before their technical merit was ever scored.</w:t>
      </w:r>
    </w:p>
    <w:p>
      <w:pPr>
        <w:pStyle w:val="BodyText"/>
      </w:pPr>
      <w:r>
        <w:t xml:space="preserve">The firm’s proposal had addressed it, because the compliance matrix had caught it in week two and the staffing plan had been built to answer it. The all-nighter in the final week had been, mostly, unnecessary — which is exactly the sign of a mature process.</w:t>
      </w:r>
    </w:p>
    <w:bookmarkEnd w:id="24"/>
    <w:bookmarkStart w:id="25" w:name="the-debrief-lesson"/>
    <w:p>
      <w:pPr>
        <w:pStyle w:val="Heading2"/>
      </w:pPr>
      <w:r>
        <w:t xml:space="preserve">The debrief lesson</w:t>
      </w:r>
    </w:p>
    <w:p>
      <w:pPr>
        <w:pStyle w:val="FirstParagraph"/>
      </w:pPr>
      <w:r>
        <w:t xml:space="preserve">The losers did not lose on brilliance. They lost on the boring stuff: a required subsection not answered, a page limit exceeded, a theme that was never stated because the proposal was a resume dump. The winner did not win by being the smartest team in the room. It won by being the only team that treated the solicitation as a contract to be performed line by line — and by repeating one true theme until an evaluator could not miss it. In the debrief’s own words, the difference between the awardees and the eliminated was mostly compliance.</w:t>
      </w:r>
    </w:p>
    <w:bookmarkEnd w:id="25"/>
    <w:bookmarkStart w:id="28" w:name="what-this-teaches"/>
    <w:p>
      <w:pPr>
        <w:pStyle w:val="Heading2"/>
      </w:pPr>
      <w:r>
        <w:t xml:space="preserve">What this teaches</w:t>
      </w:r>
    </w:p>
    <w:p>
      <w:pPr>
        <w:pStyle w:val="BlockText"/>
      </w:pPr>
      <w:r>
        <w:rPr>
          <w:b/>
          <w:bCs/>
        </w:rPr>
        <w:t xml:space="preserve">Compliance is not paperwork; it is the difference between being considered and being eliminated. And a win theme is only a win theme if the evaluator can repeat it back to you — which means you must say it, again, on every page that matters.</w:t>
      </w:r>
    </w:p>
    <w:p>
      <w:pPr>
        <w:pStyle w:val="FirstParagraph"/>
      </w:pPr>
      <w:r>
        <w:t xml:space="preserve">The compliance matrix is the backbone of every proposal in this curriculum (</w:t>
      </w:r>
      <w:hyperlink r:id="rId26">
        <w:r>
          <w:rPr>
            <w:rStyle w:val="Hyperlink"/>
          </w:rPr>
          <w:t xml:space="preserve">doctrine/02</w:t>
        </w:r>
      </w:hyperlink>
      <w:r>
        <w:t xml:space="preserve">,</w:t>
      </w:r>
      <w:r>
        <w:t xml:space="preserve"> </w:t>
      </w:r>
      <w:hyperlink r:id="rId27">
        <w:r>
          <w:rPr>
            <w:rStyle w:val="Hyperlink"/>
          </w:rPr>
          <w:t xml:space="preserve">doctrine/03</w:t>
        </w:r>
      </w:hyperlink>
      <w:r>
        <w:t xml:space="preserve">). This case is why: before an evaluator can be impressed by your technical approach, you must not have been eliminated for failing to answer the question you were asked. And once you are being evaluated, a single true theme repeated until it is unmissable outperforms a pile of unproven strengths every time. The unglamorous win is still a win.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doctrine/02-rfps-and-solicitations.md" TargetMode="Externa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28" Type="http://schemas.openxmlformats.org/officeDocument/2006/relationships/customXml" Target="../customXml/item1.xml"/><Relationship Id="rId4" Type="http://schemas.openxmlformats.org/officeDocument/2006/relationships/webSettings" Target="webSettings.xml"/><Relationship Id="rId27" Type="http://schemas.openxmlformats.org/officeDocument/2006/relationships/hyperlink" Target="../doctrine/03-the-pursuit-pipeline.md" TargetMode="External"/><Relationship Id="rId30" Type="http://schemas.openxmlformats.org/officeDocument/2006/relationships/customXml" Target="../customXml/item3.xml"/></Relationships>
</file>

<file path=word/_rels/footnotes.xml.rels><?xml version="1.0" encoding="UTF-8"?><Relationships xmlns="http://schemas.openxmlformats.org/package/2006/relationships"><Relationship Type="http://schemas.openxmlformats.org/officeDocument/2006/relationships/hyperlink" Id="rId26" Target="../doctrine/02-rfps-and-solicitations.md" TargetMode="External" /><Relationship Type="http://schemas.openxmlformats.org/officeDocument/2006/relationships/hyperlink" Id="rId27" Target="../doctrine/03-the-pursuit-pipeline.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A791D58B-5AAE-4F52-A783-D729308374BA}"/>
</file>

<file path=customXml/itemProps2.xml><?xml version="1.0" encoding="utf-8"?>
<ds:datastoreItem xmlns:ds="http://schemas.openxmlformats.org/officeDocument/2006/customXml" ds:itemID="{0FB05289-949B-4CA1-825A-706233DF420D}"/>
</file>

<file path=customXml/itemProps3.xml><?xml version="1.0" encoding="utf-8"?>
<ds:datastoreItem xmlns:ds="http://schemas.openxmlformats.org/officeDocument/2006/customXml" ds:itemID="{55ECEC29-333F-45EB-AEDF-3CD6B17F81CF}"/>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2026-08-05T17:25:23Z</dcterms:created>
  <dcterms:modified xsi:type="dcterms:W3CDTF">2026-08-05T17:25:23Z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