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redential-certification-mapping"/>
    <w:p>
      <w:pPr>
        <w:pStyle w:val="Heading1"/>
      </w:pPr>
      <w:r>
        <w:t xml:space="preserve">Credential / Certification Mapping</w:t>
      </w:r>
    </w:p>
    <w:p>
      <w:pPr>
        <w:pStyle w:val="FirstParagraph"/>
      </w:pPr>
      <w:r>
        <w:rPr>
          <w:i/>
          <w:iCs/>
        </w:rPr>
        <w:t xml:space="preserve">Research backbone for the Dream Pursuit Doctrine curriculum: which professional credentials exist in federal business development and capture/proposal management, what the curriculum already teaches toward them, and the incremental step to actually earn each one.</w:t>
      </w:r>
    </w:p>
    <w:p>
      <w:pPr>
        <w:pStyle w:val="Compact"/>
        <w:numPr>
          <w:ilvl w:val="0"/>
          <w:numId w:val="1001"/>
        </w:numPr>
      </w:pPr>
      <w:r>
        <w:rPr>
          <w:b/>
          <w:bCs/>
        </w:rPr>
        <w:t xml:space="preserve">Status:</w:t>
      </w:r>
      <w:r>
        <w:t xml:space="preserve"> </w:t>
      </w:r>
      <w:r>
        <w:t xml:space="preserve">Research document (not doctrine, not literacy). Feeds</w:t>
      </w:r>
      <w:r>
        <w:t xml:space="preserve"> </w:t>
      </w:r>
      <w:r>
        <w:rPr>
          <w:rStyle w:val="VerbatimChar"/>
        </w:rPr>
        <w:t xml:space="preserve">literacy/industry-standard-canon.md</w:t>
      </w:r>
      <w:r>
        <w:t xml:space="preserve"> </w:t>
      </w:r>
      <w:r>
        <w:t xml:space="preserve">and any future</w:t>
      </w:r>
      <w:r>
        <w:t xml:space="preserve"> </w:t>
      </w:r>
      <w:r>
        <w:t xml:space="preserve">“</w:t>
      </w:r>
      <w:r>
        <w:t xml:space="preserve">certification prep</w:t>
      </w:r>
      <w:r>
        <w:t xml:space="preserve">”</w:t>
      </w:r>
      <w:r>
        <w:t xml:space="preserve"> </w:t>
      </w:r>
      <w:r>
        <w:t xml:space="preserve">track.</w:t>
      </w:r>
    </w:p>
    <w:p>
      <w:pPr>
        <w:pStyle w:val="Compact"/>
        <w:numPr>
          <w:ilvl w:val="0"/>
          <w:numId w:val="1001"/>
        </w:numPr>
      </w:pPr>
      <w:r>
        <w:rPr>
          <w:b/>
          <w:bCs/>
        </w:rPr>
        <w:t xml:space="preserve">Date:</w:t>
      </w:r>
      <w:r>
        <w:t xml:space="preserve"> </w:t>
      </w:r>
      <w:r>
        <w:t xml:space="preserve">2026-08-05</w:t>
      </w:r>
    </w:p>
    <w:p>
      <w:pPr>
        <w:pStyle w:val="Compact"/>
        <w:numPr>
          <w:ilvl w:val="0"/>
          <w:numId w:val="1001"/>
        </w:numPr>
      </w:pPr>
      <w:r>
        <w:rPr>
          <w:b/>
          <w:bCs/>
        </w:rPr>
        <w:t xml:space="preserve">Branch:</w:t>
      </w:r>
      <w:r>
        <w:t xml:space="preserve"> </w:t>
      </w:r>
      <w:r>
        <w:rPr>
          <w:rStyle w:val="VerbatimChar"/>
        </w:rPr>
        <w:t xml:space="preserve">feat/launchpad-research-credentials</w:t>
      </w:r>
    </w:p>
    <w:p>
      <w:pPr>
        <w:pStyle w:val="Compact"/>
        <w:numPr>
          <w:ilvl w:val="0"/>
          <w:numId w:val="1001"/>
        </w:numPr>
      </w:pPr>
      <w:r>
        <w:rPr>
          <w:b/>
          <w:bCs/>
        </w:rPr>
        <w:t xml:space="preserve">Verification method:</w:t>
      </w:r>
      <w:r>
        <w:t xml:space="preserve"> </w:t>
      </w:r>
      <w:r>
        <w:t xml:space="preserve">Web research (issuing-body sites, chapter sites, credential registries) plus close reading of the curriculum repo. Each credential row marks what is</w:t>
      </w:r>
      <w:r>
        <w:t xml:space="preserve"> </w:t>
      </w:r>
      <w:r>
        <w:rPr>
          <w:b/>
          <w:bCs/>
        </w:rPr>
        <w:t xml:space="preserve">verified</w:t>
      </w:r>
      <w:r>
        <w:t xml:space="preserve"> </w:t>
      </w:r>
      <w:r>
        <w:t xml:space="preserve">(confirmed by a public source in this research pass) vs</w:t>
      </w:r>
      <w:r>
        <w:t xml:space="preserve"> </w:t>
      </w:r>
      <w:r>
        <w:rPr>
          <w:b/>
          <w:bCs/>
        </w:rPr>
        <w:t xml:space="preserve">needs confirmation</w:t>
      </w:r>
      <w:r>
        <w:t xml:space="preserve"> </w:t>
      </w:r>
      <w:r>
        <w:t xml:space="preserve">(reported in secondary/aggregator sources, or named in the task but not locatable — check with the issuing body before the curriculum cites it).</w:t>
      </w:r>
    </w:p>
    <w:p>
      <w:r>
        <w:pict>
          <v:rect style="width:0;height:1.5pt" o:hralign="center" o:hrstd="t" o:hr="t"/>
        </w:pict>
      </w:r>
    </w:p>
    <w:bookmarkStart w:id="20" w:name="X94bae1da4aad248edc2189be6f7943b0afdfd0f"/>
    <w:p>
      <w:pPr>
        <w:pStyle w:val="Heading2"/>
      </w:pPr>
      <w:r>
        <w:t xml:space="preserve">0. Critical caveat — read this first (licensing posture)</w:t>
      </w:r>
    </w:p>
    <w:p>
      <w:pPr>
        <w:pStyle w:val="FirstParagraph"/>
      </w:pPr>
      <w:r>
        <w:t xml:space="preserve">The DreamLimited machine-side corpus (the DNA repo) contains</w:t>
      </w:r>
      <w:r>
        <w:t xml:space="preserve"> </w:t>
      </w:r>
      <w:r>
        <w:rPr>
          <w:b/>
          <w:bCs/>
        </w:rPr>
        <w:t xml:space="preserve">license-clean paraphrases</w:t>
      </w:r>
      <w:r>
        <w:t xml:space="preserve"> </w:t>
      </w:r>
      <w:r>
        <w:t xml:space="preserve">of Shipley and APMP concepts. Two governing documents make this explicit:</w:t>
      </w:r>
    </w:p>
    <w:p>
      <w:pPr>
        <w:pStyle w:val="Compact"/>
        <w:numPr>
          <w:ilvl w:val="0"/>
          <w:numId w:val="1002"/>
        </w:numPr>
      </w:pPr>
      <w:r>
        <w:rPr>
          <w:rStyle w:val="VerbatimChar"/>
        </w:rPr>
        <w:t xml:space="preserve">DreamLimited/dna</w:t>
      </w:r>
      <w:r>
        <w:t xml:space="preserve"> </w:t>
      </w:r>
      <w:r>
        <w:t xml:space="preserve">→</w:t>
      </w:r>
      <w:r>
        <w:t xml:space="preserve"> </w:t>
      </w:r>
      <w:r>
        <w:rPr>
          <w:rStyle w:val="VerbatimChar"/>
        </w:rPr>
        <w:t xml:space="preserve">docs/licensing-shipley-corpus.md</w:t>
      </w:r>
      <w:r>
        <w:t xml:space="preserve"> </w:t>
      </w:r>
      <w:r>
        <w:t xml:space="preserve">—</w:t>
      </w:r>
      <w:r>
        <w:t xml:space="preserve"> </w:t>
      </w:r>
      <w:r>
        <w:t xml:space="preserve">“</w:t>
      </w:r>
      <w:r>
        <w:t xml:space="preserve">The corpus does not reproduce Shipley text verbatim… DreamLimited’s pursuit doctrine is informed by Shipley but is</w:t>
      </w:r>
      <w:r>
        <w:t xml:space="preserve"> </w:t>
      </w:r>
      <w:r>
        <w:rPr>
          <w:b/>
          <w:bCs/>
        </w:rPr>
        <w:t xml:space="preserve">not an official Shipley product or endorsement.</w:t>
      </w:r>
      <w:r>
        <w:t xml:space="preserve"> </w:t>
      </w:r>
      <w:r>
        <w:t xml:space="preserve">Public-facing DreamLimited marketing and proposal content does</w:t>
      </w:r>
      <w:r>
        <w:t xml:space="preserve"> </w:t>
      </w:r>
      <w:r>
        <w:rPr>
          <w:b/>
          <w:bCs/>
        </w:rPr>
        <w:t xml:space="preserve">not claim Shipley certification or partnership</w:t>
      </w:r>
      <w:r>
        <w:t xml:space="preserve"> </w:t>
      </w:r>
      <w:r>
        <w:t xml:space="preserve">on the basis of this corpus.</w:t>
      </w:r>
      <w:r>
        <w:t xml:space="preserve">”</w:t>
      </w:r>
    </w:p>
    <w:p>
      <w:pPr>
        <w:pStyle w:val="Compact"/>
        <w:numPr>
          <w:ilvl w:val="0"/>
          <w:numId w:val="1002"/>
        </w:numPr>
      </w:pPr>
      <w:r>
        <w:rPr>
          <w:rStyle w:val="VerbatimChar"/>
        </w:rPr>
        <w:t xml:space="preserve">DreamLimited/dna</w:t>
      </w:r>
      <w:r>
        <w:t xml:space="preserve"> </w:t>
      </w:r>
      <w:r>
        <w:t xml:space="preserve">→</w:t>
      </w:r>
      <w:r>
        <w:t xml:space="preserve"> </w:t>
      </w:r>
      <w:r>
        <w:rPr>
          <w:rStyle w:val="VerbatimChar"/>
        </w:rPr>
        <w:t xml:space="preserve">docs/licensing-apmp-corpus.md</w:t>
      </w:r>
      <w:r>
        <w:t xml:space="preserve"> </w:t>
      </w:r>
      <w:r>
        <w:t xml:space="preserve">— identical posture for the APMP Body of Knowledge (BOK) and Proposal Process Standards: paraphrase-only, attribution-cited, no claim of APMP endorsement or partnership.</w:t>
      </w:r>
    </w:p>
    <w:p>
      <w:pPr>
        <w:pStyle w:val="FirstParagraph"/>
      </w:pPr>
      <w:r>
        <w:rPr>
          <w:b/>
          <w:bCs/>
        </w:rPr>
        <w:t xml:space="preserve">The consequence for a certification-prep track:</w:t>
      </w:r>
      <w:r>
        <w:t xml:space="preserve"> </w:t>
      </w:r>
      <w:r>
        <w:t xml:space="preserve">a real APMP or Shipley certification track</w:t>
      </w:r>
      <w:r>
        <w:t xml:space="preserve"> </w:t>
      </w:r>
      <w:r>
        <w:rPr>
          <w:b/>
          <w:bCs/>
        </w:rPr>
        <w:t xml:space="preserve">cannot be built from the paraphrase corpus alone</w:t>
      </w:r>
      <w:r>
        <w:t xml:space="preserve">. Certification bodies assess against</w:t>
      </w:r>
      <w:r>
        <w:t xml:space="preserve"> </w:t>
      </w:r>
      <w:r>
        <w:rPr>
          <w:i/>
          <w:iCs/>
        </w:rPr>
        <w:t xml:space="preserve">their own</w:t>
      </w:r>
      <w:r>
        <w:t xml:space="preserve"> </w:t>
      </w:r>
      <w:r>
        <w:t xml:space="preserve">curriculum, study guides, and exams. The Dream curriculum can honestly say</w:t>
      </w:r>
      <w:r>
        <w:t xml:space="preserve"> </w:t>
      </w:r>
      <w:r>
        <w:t xml:space="preserve">“</w:t>
      </w:r>
      <w:r>
        <w:t xml:space="preserve">this teaches the</w:t>
      </w:r>
      <w:r>
        <w:t xml:space="preserve"> </w:t>
      </w:r>
      <w:r>
        <w:rPr>
          <w:i/>
          <w:iCs/>
        </w:rPr>
        <w:t xml:space="preserve">concepts</w:t>
      </w:r>
      <w:r>
        <w:t xml:space="preserve"> </w:t>
      </w:r>
      <w:r>
        <w:t xml:space="preserve">the credential certifies</w:t>
      </w:r>
      <w:r>
        <w:t xml:space="preserve">”</w:t>
      </w:r>
      <w:r>
        <w:t xml:space="preserve"> </w:t>
      </w:r>
      <w:r>
        <w:t xml:space="preserve">— it</w:t>
      </w:r>
      <w:r>
        <w:t xml:space="preserve"> </w:t>
      </w:r>
      <w:r>
        <w:rPr>
          <w:b/>
          <w:bCs/>
        </w:rPr>
        <w:t xml:space="preserve">cannot</w:t>
      </w:r>
      <w:r>
        <w:t xml:space="preserve"> </w:t>
      </w:r>
      <w:r>
        <w:t xml:space="preserve">say</w:t>
      </w:r>
      <w:r>
        <w:t xml:space="preserve"> </w:t>
      </w:r>
      <w:r>
        <w:t xml:space="preserve">“</w:t>
      </w:r>
      <w:r>
        <w:t xml:space="preserve">this is official preparation for credential X</w:t>
      </w:r>
      <w:r>
        <w:t xml:space="preserve">”</w:t>
      </w:r>
      <w:r>
        <w:t xml:space="preserve"> </w:t>
      </w:r>
      <w:r>
        <w:t xml:space="preserve">without either (a) the bodies’ own materials and exam vouchers, or (b) an explicit authorized-prep agreement with the body.</w:t>
      </w:r>
    </w:p>
    <w:p>
      <w:pPr>
        <w:pStyle w:val="BodyText"/>
      </w:pPr>
      <w:r>
        <w:t xml:space="preserve">This mapping therefore treats the curriculum’s alignment as</w:t>
      </w:r>
      <w:r>
        <w:t xml:space="preserve"> </w:t>
      </w:r>
      <w:r>
        <w:rPr>
          <w:b/>
          <w:bCs/>
        </w:rPr>
        <w:t xml:space="preserve">conceptual alignment</w:t>
      </w:r>
      <w:r>
        <w:t xml:space="preserve">, and every</w:t>
      </w:r>
      <w:r>
        <w:t xml:space="preserve"> </w:t>
      </w:r>
      <w:r>
        <w:t xml:space="preserve">“</w:t>
      </w:r>
      <w:r>
        <w:t xml:space="preserve">incremental step</w:t>
      </w:r>
      <w:r>
        <w:t xml:space="preserve">”</w:t>
      </w:r>
      <w:r>
        <w:t xml:space="preserve"> </w:t>
      </w:r>
      <w:r>
        <w:t xml:space="preserve">section names the body’s own exam/course as the mandatory remaining leg. Prominent note for faculty: do not advertise the course as</w:t>
      </w:r>
      <w:r>
        <w:t xml:space="preserve"> </w:t>
      </w:r>
      <w:r>
        <w:t xml:space="preserve">“</w:t>
      </w:r>
      <w:r>
        <w:t xml:space="preserve">APMP/Shipley/CPCM prep</w:t>
      </w:r>
      <w:r>
        <w:t xml:space="preserve">”</w:t>
      </w:r>
      <w:r>
        <w:t xml:space="preserve"> </w:t>
      </w:r>
      <w:r>
        <w:t xml:space="preserve">in a catalog without the bodies’ materials in the loop.</w:t>
      </w:r>
    </w:p>
    <w:p>
      <w:r>
        <w:pict>
          <v:rect style="width:0;height:1.5pt" o:hralign="center" o:hrstd="t" o:hr="t"/>
        </w:pict>
      </w:r>
    </w:p>
    <w:bookmarkEnd w:id="20"/>
    <w:bookmarkStart w:id="21" w:name="master-crosswalk-table"/>
    <w:p>
      <w:pPr>
        <w:pStyle w:val="Heading2"/>
      </w:pPr>
      <w:r>
        <w:t xml:space="preserve">1. Master crosswalk table</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Credential</w:t>
            </w:r>
          </w:p>
        </w:tc>
        <w:tc>
          <w:tcPr/>
          <w:p>
            <w:pPr>
              <w:pStyle w:val="Compact"/>
              <w:jc w:val="left"/>
            </w:pPr>
            <w:r>
              <w:t xml:space="preserve">Issuing body</w:t>
            </w:r>
          </w:p>
        </w:tc>
        <w:tc>
          <w:tcPr/>
          <w:p>
            <w:pPr>
              <w:pStyle w:val="Compact"/>
              <w:jc w:val="left"/>
            </w:pPr>
            <w:r>
              <w:t xml:space="preserve">Level</w:t>
            </w:r>
          </w:p>
        </w:tc>
        <w:tc>
          <w:tcPr/>
          <w:p>
            <w:pPr>
              <w:pStyle w:val="Compact"/>
              <w:jc w:val="left"/>
            </w:pPr>
            <w:r>
              <w:t xml:space="preserve">Prerequisites (verified)</w:t>
            </w:r>
          </w:p>
        </w:tc>
        <w:tc>
          <w:tcPr/>
          <w:p>
            <w:pPr>
              <w:pStyle w:val="Compact"/>
              <w:jc w:val="left"/>
            </w:pPr>
            <w:r>
              <w:t xml:space="preserve">Curriculum already aligns to</w:t>
            </w:r>
          </w:p>
        </w:tc>
        <w:tc>
          <w:tcPr/>
          <w:p>
            <w:pPr>
              <w:pStyle w:val="Compact"/>
              <w:jc w:val="left"/>
            </w:pPr>
            <w:r>
              <w:t xml:space="preserve">Missing / incremental step</w:t>
            </w:r>
          </w:p>
        </w:tc>
      </w:tr>
      <w:tr>
        <w:tc>
          <w:tcPr/>
          <w:p>
            <w:pPr>
              <w:pStyle w:val="Compact"/>
              <w:jc w:val="left"/>
            </w:pPr>
            <w:r>
              <w:rPr>
                <w:b/>
                <w:bCs/>
              </w:rPr>
              <w:t xml:space="preserve">APMP Foundation</w:t>
            </w:r>
          </w:p>
        </w:tc>
        <w:tc>
          <w:tcPr/>
          <w:p>
            <w:pPr>
              <w:pStyle w:val="Compact"/>
              <w:jc w:val="left"/>
            </w:pPr>
            <w:r>
              <w:t xml:space="preserve">APMP</w:t>
            </w:r>
          </w:p>
        </w:tc>
        <w:tc>
          <w:tcPr/>
          <w:p>
            <w:pPr>
              <w:pStyle w:val="Compact"/>
              <w:jc w:val="left"/>
            </w:pPr>
            <w:r>
              <w:t xml:space="preserve">Foundation (entry)</w:t>
            </w:r>
          </w:p>
        </w:tc>
        <w:tc>
          <w:tcPr/>
          <w:p>
            <w:pPr>
              <w:pStyle w:val="Compact"/>
              <w:jc w:val="left"/>
            </w:pPr>
            <w:r>
              <w:t xml:space="preserve">1–3 yrs proposal/bid experience; 1-hr, 75-Q open-book exam (~$125–300)</w:t>
            </w:r>
          </w:p>
        </w:tc>
        <w:tc>
          <w:tcPr/>
          <w:p>
            <w:pPr>
              <w:pStyle w:val="Compact"/>
              <w:jc w:val="left"/>
            </w:pPr>
            <w:r>
              <w:t xml:space="preserve">Doctrine 01–04 (money, solicitations, pipeline, gates); compliance matrix (Doctrine 02, shared-core S3); color teams (Doctrine 04)</w:t>
            </w:r>
          </w:p>
        </w:tc>
        <w:tc>
          <w:tcPr/>
          <w:p>
            <w:pPr>
              <w:pStyle w:val="Compact"/>
              <w:jc w:val="left"/>
            </w:pPr>
            <w:r>
              <w:t xml:space="preserve">Official APMP study guide (BOK) + exam registration. Curriculum covers the</w:t>
            </w:r>
            <w:r>
              <w:t xml:space="preserve"> </w:t>
            </w:r>
            <w:r>
              <w:rPr>
                <w:i/>
                <w:iCs/>
              </w:rPr>
              <w:t xml:space="preserve">concepts</w:t>
            </w:r>
            <w:r>
              <w:t xml:space="preserve">, not the BOK’s exam wording.</w:t>
            </w:r>
          </w:p>
        </w:tc>
      </w:tr>
      <w:tr>
        <w:tc>
          <w:tcPr/>
          <w:p>
            <w:pPr>
              <w:pStyle w:val="Compact"/>
              <w:jc w:val="left"/>
            </w:pPr>
            <w:r>
              <w:rPr>
                <w:b/>
                <w:bCs/>
              </w:rPr>
              <w:t xml:space="preserve">APMP Practitioner</w:t>
            </w:r>
          </w:p>
        </w:tc>
        <w:tc>
          <w:tcPr/>
          <w:p>
            <w:pPr>
              <w:pStyle w:val="Compact"/>
              <w:jc w:val="left"/>
            </w:pPr>
            <w:r>
              <w:t xml:space="preserve">APMP</w:t>
            </w:r>
          </w:p>
        </w:tc>
        <w:tc>
          <w:tcPr/>
          <w:p>
            <w:pPr>
              <w:pStyle w:val="Compact"/>
              <w:jc w:val="left"/>
            </w:pPr>
            <w:r>
              <w:t xml:space="preserve">Mid</w:t>
            </w:r>
          </w:p>
        </w:tc>
        <w:tc>
          <w:tcPr/>
          <w:p>
            <w:pPr>
              <w:pStyle w:val="Compact"/>
              <w:jc w:val="left"/>
            </w:pPr>
            <w:r>
              <w:t xml:space="preserve">Foundation + 3–7 yrs experience; applied exam/assessment</w:t>
            </w:r>
          </w:p>
        </w:tc>
        <w:tc>
          <w:tcPr/>
          <w:p>
            <w:pPr>
              <w:pStyle w:val="Compact"/>
              <w:jc w:val="left"/>
            </w:pPr>
            <w:r>
              <w:t xml:space="preserve">Same as Foundation, plus pursuit-strategy work (Doctrine 05, 07; SI track portfolio/gate sessions)</w:t>
            </w:r>
          </w:p>
        </w:tc>
        <w:tc>
          <w:tcPr/>
          <w:p>
            <w:pPr>
              <w:pStyle w:val="Compact"/>
              <w:jc w:val="left"/>
            </w:pPr>
            <w:r>
              <w:t xml:space="preserve">Work-experience portfolio; APMP’s applied assessment against the BOK.</w:t>
            </w:r>
          </w:p>
        </w:tc>
      </w:tr>
      <w:tr>
        <w:tc>
          <w:tcPr/>
          <w:p>
            <w:pPr>
              <w:pStyle w:val="Compact"/>
              <w:jc w:val="left"/>
            </w:pPr>
            <w:r>
              <w:rPr>
                <w:b/>
                <w:bCs/>
              </w:rPr>
              <w:t xml:space="preserve">APMP Professional (CPP)</w:t>
            </w:r>
          </w:p>
        </w:tc>
        <w:tc>
          <w:tcPr/>
          <w:p>
            <w:pPr>
              <w:pStyle w:val="Compact"/>
              <w:jc w:val="left"/>
            </w:pPr>
            <w:r>
              <w:t xml:space="preserve">APMP</w:t>
            </w:r>
          </w:p>
        </w:tc>
        <w:tc>
          <w:tcPr/>
          <w:p>
            <w:pPr>
              <w:pStyle w:val="Compact"/>
              <w:jc w:val="left"/>
            </w:pPr>
            <w:r>
              <w:t xml:space="preserve">Senior</w:t>
            </w:r>
          </w:p>
        </w:tc>
        <w:tc>
          <w:tcPr/>
          <w:p>
            <w:pPr>
              <w:pStyle w:val="Compact"/>
              <w:jc w:val="left"/>
            </w:pPr>
            <w:r>
              <w:t xml:space="preserve">Practitioner + 7+ yrs; 3-part process: reference, professional-impact paper, panel interview</w:t>
            </w:r>
          </w:p>
        </w:tc>
        <w:tc>
          <w:tcPr/>
          <w:p>
            <w:pPr>
              <w:pStyle w:val="Compact"/>
              <w:jc w:val="left"/>
            </w:pPr>
            <w:r>
              <w:t xml:space="preserve">The whole curriculum is a practice ground for the</w:t>
            </w:r>
            <w:r>
              <w:t xml:space="preserve"> </w:t>
            </w:r>
            <w:r>
              <w:t xml:space="preserve">“</w:t>
            </w:r>
            <w:r>
              <w:t xml:space="preserve">doctrine as operating system</w:t>
            </w:r>
            <w:r>
              <w:t xml:space="preserve">”</w:t>
            </w:r>
            <w:r>
              <w:t xml:space="preserve"> </w:t>
            </w:r>
            <w:r>
              <w:t xml:space="preserve">narrative a CPP impact paper must tell</w:t>
            </w:r>
          </w:p>
        </w:tc>
        <w:tc>
          <w:tcPr/>
          <w:p>
            <w:pPr>
              <w:pStyle w:val="Compact"/>
              <w:jc w:val="left"/>
            </w:pPr>
            <w:r>
              <w:t xml:space="preserve">Years of verifiable impact + the paper + interview. Curriculum cannot manufacture the experience.</w:t>
            </w:r>
          </w:p>
        </w:tc>
      </w:tr>
      <w:tr>
        <w:tc>
          <w:tcPr/>
          <w:p>
            <w:pPr>
              <w:pStyle w:val="Compact"/>
              <w:jc w:val="left"/>
            </w:pPr>
            <w:r>
              <w:rPr>
                <w:b/>
                <w:bCs/>
              </w:rPr>
              <w:t xml:space="preserve">APMP Capture Practitioner / Professional</w:t>
            </w:r>
          </w:p>
        </w:tc>
        <w:tc>
          <w:tcPr/>
          <w:p>
            <w:pPr>
              <w:pStyle w:val="Compact"/>
              <w:jc w:val="left"/>
            </w:pPr>
            <w:r>
              <w:t xml:space="preserve">APMP</w:t>
            </w:r>
          </w:p>
        </w:tc>
        <w:tc>
          <w:tcPr/>
          <w:p>
            <w:pPr>
              <w:pStyle w:val="Compact"/>
              <w:jc w:val="left"/>
            </w:pPr>
            <w:r>
              <w:t xml:space="preserve">Mid (capture)</w:t>
            </w:r>
          </w:p>
        </w:tc>
        <w:tc>
          <w:tcPr/>
          <w:p>
            <w:pPr>
              <w:pStyle w:val="Compact"/>
              <w:jc w:val="left"/>
            </w:pPr>
            <w:r>
              <w:t xml:space="preserve">3+ yrs capture/sales/bid/proposal; capture-focused exam (Foundation</w:t>
            </w:r>
            <w:r>
              <w:t xml:space="preserve"> </w:t>
            </w:r>
            <w:r>
              <w:rPr>
                <w:i/>
                <w:iCs/>
              </w:rPr>
              <w:t xml:space="preserve">not</w:t>
            </w:r>
            <w:r>
              <w:t xml:space="preserve"> </w:t>
            </w:r>
            <w:r>
              <w:t xml:space="preserve">required)</w:t>
            </w:r>
          </w:p>
        </w:tc>
        <w:tc>
          <w:tcPr/>
          <w:p>
            <w:pPr>
              <w:pStyle w:val="Compact"/>
              <w:jc w:val="left"/>
            </w:pPr>
            <w:r>
              <w:t xml:space="preserve">Capture-aligned material: Doctrine 04 gates, Doctrine 05 scoring, capture personas in the concept map (</w:t>
            </w:r>
            <w:r>
              <w:rPr>
                <w:rStyle w:val="VerbatimChar"/>
              </w:rPr>
              <w:t xml:space="preserve">align/concept-to-system-map.md</w:t>
            </w:r>
            <w:r>
              <w:t xml:space="preserve"> </w:t>
            </w:r>
            <w:r>
              <w:t xml:space="preserve">§4–5)</w:t>
            </w:r>
          </w:p>
        </w:tc>
        <w:tc>
          <w:tcPr/>
          <w:p>
            <w:pPr>
              <w:pStyle w:val="Compact"/>
              <w:jc w:val="left"/>
            </w:pPr>
            <w:r>
              <w:t xml:space="preserve">Capture work experience + APMP’s capture exam; deeper customer-engagement technique.</w:t>
            </w:r>
          </w:p>
        </w:tc>
      </w:tr>
      <w:tr>
        <w:tc>
          <w:tcPr/>
          <w:p>
            <w:pPr>
              <w:pStyle w:val="Compact"/>
              <w:jc w:val="left"/>
            </w:pPr>
            <w:r>
              <w:rPr>
                <w:b/>
                <w:bCs/>
              </w:rPr>
              <w:t xml:space="preserve">APMP Micro-certifications</w:t>
            </w:r>
            <w:r>
              <w:t xml:space="preserve"> </w:t>
            </w:r>
            <w:r>
              <w:t xml:space="preserve">(Exec Summaries, Bid &amp; Proposal Writing, Graphics, Competitive Price To Win)</w:t>
            </w:r>
          </w:p>
        </w:tc>
        <w:tc>
          <w:tcPr/>
          <w:p>
            <w:pPr>
              <w:pStyle w:val="Compact"/>
              <w:jc w:val="left"/>
            </w:pPr>
            <w:r>
              <w:t xml:space="preserve">APMP</w:t>
            </w:r>
          </w:p>
        </w:tc>
        <w:tc>
          <w:tcPr/>
          <w:p>
            <w:pPr>
              <w:pStyle w:val="Compact"/>
              <w:jc w:val="left"/>
            </w:pPr>
            <w:r>
              <w:t xml:space="preserve">Topic</w:t>
            </w:r>
          </w:p>
        </w:tc>
        <w:tc>
          <w:tcPr/>
          <w:p>
            <w:pPr>
              <w:pStyle w:val="Compact"/>
              <w:jc w:val="left"/>
            </w:pPr>
            <w:r>
              <w:t xml:space="preserve">Varies (open-book MC, $125–900)</w:t>
            </w:r>
          </w:p>
        </w:tc>
        <w:tc>
          <w:tcPr/>
          <w:p>
            <w:pPr>
              <w:pStyle w:val="Compact"/>
              <w:jc w:val="left"/>
            </w:pPr>
            <w:r>
              <w:t xml:space="preserve">Price-to-win (Doctrine 05; MBA-2) maps to the PTW micro-cert</w:t>
            </w:r>
          </w:p>
        </w:tc>
        <w:tc>
          <w:tcPr/>
          <w:p>
            <w:pPr>
              <w:pStyle w:val="Compact"/>
              <w:jc w:val="left"/>
            </w:pPr>
            <w:r>
              <w:t xml:space="preserve">Focused exam; the other micro-certs (graphics, exec summaries) are thin in the curriculum.</w:t>
            </w:r>
          </w:p>
        </w:tc>
      </w:tr>
      <w:tr>
        <w:tc>
          <w:tcPr/>
          <w:p>
            <w:pPr>
              <w:pStyle w:val="Compact"/>
              <w:jc w:val="left"/>
            </w:pPr>
            <w:r>
              <w:rPr>
                <w:b/>
                <w:bCs/>
              </w:rPr>
              <w:t xml:space="preserve">Legacy CF APMP / CP APMP</w:t>
            </w:r>
          </w:p>
        </w:tc>
        <w:tc>
          <w:tcPr/>
          <w:p>
            <w:pPr>
              <w:pStyle w:val="Compact"/>
              <w:jc w:val="left"/>
            </w:pPr>
            <w:r>
              <w:t xml:space="preserve">APMP (legacy names)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i/>
                <w:iCs/>
              </w:rPr>
              <w:t xml:space="preserve">Needs confirmation.</w:t>
            </w:r>
            <w:r>
              <w:t xml:space="preserve"> </w:t>
            </w:r>
            <w:r>
              <w:t xml:space="preserve">Older references name the first two rungs</w:t>
            </w:r>
            <w:r>
              <w:t xml:space="preserve"> </w:t>
            </w:r>
            <w:r>
              <w:t xml:space="preserve">“</w:t>
            </w:r>
            <w:r>
              <w:t xml:space="preserve">CF APMP (Certified Foundation)</w:t>
            </w:r>
            <w:r>
              <w:t xml:space="preserve">”</w:t>
            </w:r>
            <w:r>
              <w:t xml:space="preserve"> </w:t>
            </w:r>
            <w:r>
              <w:t xml:space="preserve">and</w:t>
            </w:r>
            <w:r>
              <w:t xml:space="preserve"> </w:t>
            </w:r>
            <w:r>
              <w:t xml:space="preserve">“</w:t>
            </w:r>
            <w:r>
              <w:t xml:space="preserve">CP APMP (Certified Practitioner)</w:t>
            </w:r>
            <w:r>
              <w:t xml:space="preserve">”</w:t>
            </w:r>
            <w:r>
              <w:t xml:space="preserve">; current APMP materials use Foundation/Practitioner/Professional. Confirm before citing.</w:t>
            </w:r>
          </w:p>
        </w:tc>
      </w:tr>
      <w:tr>
        <w:tc>
          <w:tcPr/>
          <w:p>
            <w:pPr>
              <w:pStyle w:val="Compact"/>
              <w:jc w:val="left"/>
            </w:pPr>
            <w:r>
              <w:rPr>
                <w:b/>
                <w:bCs/>
              </w:rPr>
              <w:t xml:space="preserve">Shipley Certified (One Star)</w:t>
            </w:r>
          </w:p>
        </w:tc>
        <w:tc>
          <w:tcPr/>
          <w:p>
            <w:pPr>
              <w:pStyle w:val="Compact"/>
              <w:jc w:val="left"/>
            </w:pPr>
            <w:r>
              <w:t xml:space="preserve">Shipley Associates</w:t>
            </w:r>
          </w:p>
        </w:tc>
        <w:tc>
          <w:tcPr/>
          <w:p>
            <w:pPr>
              <w:pStyle w:val="Compact"/>
              <w:jc w:val="left"/>
            </w:pPr>
            <w:r>
              <w:t xml:space="preserve">Foundation–mid (method fluency)</w:t>
            </w:r>
          </w:p>
        </w:tc>
        <w:tc>
          <w:tcPr/>
          <w:p>
            <w:pPr>
              <w:pStyle w:val="Compact"/>
              <w:jc w:val="left"/>
            </w:pPr>
            <w:r>
              <w:t xml:space="preserve">Complete one core course w/ built-in assessment (Capturing New Business / POWeRful Proposal Writing / Managing Strategic Proposals)</w:t>
            </w:r>
          </w:p>
        </w:tc>
        <w:tc>
          <w:tcPr/>
          <w:p>
            <w:pPr>
              <w:pStyle w:val="Compact"/>
              <w:jc w:val="left"/>
            </w:pPr>
            <w:r>
              <w:t xml:space="preserve">BD lifecycle (Doctrine 03 ↔ Shipley</w:t>
            </w:r>
            <w:r>
              <w:t xml:space="preserve"> </w:t>
            </w:r>
            <w:r>
              <w:rPr>
                <w:rStyle w:val="VerbatimChar"/>
              </w:rPr>
              <w:t xml:space="preserve">marketing→capture→proposal→negotiate→award</w:t>
            </w:r>
            <w:r>
              <w:t xml:space="preserve">); gates (Doctrine 04); volumes (Doctrine 06 concept;</w:t>
            </w:r>
            <w:r>
              <w:t xml:space="preserve"> </w:t>
            </w:r>
            <w:r>
              <w:rPr>
                <w:rStyle w:val="VerbatimChar"/>
              </w:rPr>
              <w:t xml:space="preserve">literacy/the-four-volumes.md</w:t>
            </w:r>
            <w:r>
              <w:t xml:space="preserve"> </w:t>
            </w:r>
            <w:r>
              <w:t xml:space="preserve">merged)</w:t>
            </w:r>
          </w:p>
        </w:tc>
        <w:tc>
          <w:tcPr/>
          <w:p>
            <w:pPr>
              <w:pStyle w:val="Compact"/>
              <w:jc w:val="left"/>
            </w:pPr>
            <w:r>
              <w:t xml:space="preserve">Paid Shipley course (the assessment is embedded in the course). Curriculum teaches the method’s concepts, not Shipley’s course.</w:t>
            </w:r>
          </w:p>
        </w:tc>
      </w:tr>
      <w:tr>
        <w:tc>
          <w:tcPr/>
          <w:p>
            <w:pPr>
              <w:pStyle w:val="Compact"/>
              <w:jc w:val="left"/>
            </w:pPr>
            <w:r>
              <w:rPr>
                <w:b/>
                <w:bCs/>
              </w:rPr>
              <w:t xml:space="preserve">Shipley Two Star / Shipley Master</w:t>
            </w:r>
          </w:p>
        </w:tc>
        <w:tc>
          <w:tcPr/>
          <w:p>
            <w:pPr>
              <w:pStyle w:val="Compact"/>
              <w:jc w:val="left"/>
            </w:pPr>
            <w:r>
              <w:t xml:space="preserve">Shipley Associates</w:t>
            </w:r>
          </w:p>
        </w:tc>
        <w:tc>
          <w:tcPr/>
          <w:p>
            <w:pPr>
              <w:pStyle w:val="Compact"/>
              <w:jc w:val="left"/>
            </w:pPr>
            <w:r>
              <w:t xml:space="preserve">Senior</w:t>
            </w:r>
          </w:p>
        </w:tc>
        <w:tc>
          <w:tcPr/>
          <w:p>
            <w:pPr>
              <w:pStyle w:val="Compact"/>
              <w:jc w:val="left"/>
            </w:pPr>
            <w:r>
              <w:t xml:space="preserve">One Star + assessed portfolio of real work (~AU$500)</w:t>
            </w:r>
          </w:p>
        </w:tc>
        <w:tc>
          <w:tcPr/>
          <w:p>
            <w:pPr>
              <w:pStyle w:val="Compact"/>
              <w:jc w:val="left"/>
            </w:pPr>
            <w:r>
              <w:t xml:space="preserve">Same conceptual base + the capstone (real solicitation → ORBITAL → bid/no-bid) as portfolio-shaped work</w:t>
            </w:r>
          </w:p>
        </w:tc>
        <w:tc>
          <w:tcPr/>
          <w:p>
            <w:pPr>
              <w:pStyle w:val="Compact"/>
              <w:jc w:val="left"/>
            </w:pPr>
            <w:r>
              <w:t xml:space="preserve">A real-work portfolio judged by Shipley assessors. The capstone is the closest curriculum analog.</w:t>
            </w:r>
          </w:p>
        </w:tc>
      </w:tr>
      <w:tr>
        <w:tc>
          <w:tcPr/>
          <w:p>
            <w:pPr>
              <w:pStyle w:val="Compact"/>
              <w:jc w:val="left"/>
            </w:pPr>
            <w:r>
              <w:rPr>
                <w:b/>
                <w:bCs/>
              </w:rPr>
              <w:t xml:space="preserve">Shipley BD Lifecycle / Capture / Proposal Management courses</w:t>
            </w:r>
          </w:p>
        </w:tc>
        <w:tc>
          <w:tcPr/>
          <w:p>
            <w:pPr>
              <w:pStyle w:val="Compact"/>
              <w:jc w:val="left"/>
            </w:pPr>
            <w:r>
              <w:t xml:space="preserve">Shipley Associates</w:t>
            </w:r>
          </w:p>
        </w:tc>
        <w:tc>
          <w:tcPr/>
          <w:p>
            <w:pPr>
              <w:pStyle w:val="Compact"/>
              <w:jc w:val="left"/>
            </w:pPr>
            <w:r>
              <w:t xml:space="preserve">Courseware (not a cert tier by itself)</w:t>
            </w:r>
          </w:p>
        </w:tc>
        <w:tc>
          <w:tcPr/>
          <w:p>
            <w:pPr>
              <w:pStyle w:val="Compact"/>
              <w:jc w:val="left"/>
            </w:pPr>
            <w:r>
              <w:t xml:space="preserve">None (paid courses)</w:t>
            </w:r>
          </w:p>
        </w:tc>
        <w:tc>
          <w:tcPr/>
          <w:p>
            <w:pPr>
              <w:pStyle w:val="Compact"/>
              <w:jc w:val="left"/>
            </w:pPr>
            <w:r>
              <w:t xml:space="preserve">Doctrine 03 pipeline = Shipley BD lifecycle; Doctrine 04 gates = Shipley gate ladder; Doctrine 02 compliance = Shipley compliance matrix</w:t>
            </w:r>
          </w:p>
        </w:tc>
        <w:tc>
          <w:tcPr/>
          <w:p>
            <w:pPr>
              <w:pStyle w:val="Compact"/>
              <w:jc w:val="left"/>
            </w:pPr>
            <w:r>
              <w:t xml:space="preserve">The courses themselves.</w:t>
            </w:r>
            <w:r>
              <w:t xml:space="preserve"> </w:t>
            </w:r>
            <w:r>
              <w:rPr>
                <w:i/>
                <w:iCs/>
              </w:rPr>
              <w:t xml:space="preserve">Note:</w:t>
            </w:r>
            <w:r>
              <w:t xml:space="preserve"> </w:t>
            </w:r>
            <w:r>
              <w:t xml:space="preserve">Shipley’s own certification site describes a</w:t>
            </w:r>
            <w:r>
              <w:t xml:space="preserve"> </w:t>
            </w:r>
            <w:r>
              <w:rPr>
                <w:b/>
                <w:bCs/>
              </w:rPr>
              <w:t xml:space="preserve">6-core + 4-elective unit</w:t>
            </w:r>
            <w:r>
              <w:t xml:space="preserve"> </w:t>
            </w:r>
            <w:r>
              <w:t xml:space="preserve">structure; regional pages describe the star ladder. Confirm the current structure with Shipley.</w:t>
            </w:r>
          </w:p>
        </w:tc>
      </w:tr>
      <w:tr>
        <w:tc>
          <w:tcPr/>
          <w:p>
            <w:pPr>
              <w:pStyle w:val="Compact"/>
              <w:jc w:val="left"/>
            </w:pPr>
            <w:r>
              <w:rPr>
                <w:b/>
                <w:bCs/>
              </w:rPr>
              <w:t xml:space="preserve">SPMBOK</w:t>
            </w:r>
          </w:p>
        </w:tc>
        <w:tc>
          <w:tcPr/>
          <w:p>
            <w:pPr>
              <w:pStyle w:val="Compact"/>
              <w:jc w:val="left"/>
            </w:pPr>
            <w:r>
              <w:rPr>
                <w:i/>
                <w:iCs/>
              </w:rPr>
              <w:t xml:space="preserve">(see note)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
                <w:bCs/>
              </w:rPr>
              <w:t xml:space="preserve">Name correction:</w:t>
            </w:r>
            <w:r>
              <w:t xml:space="preserve"> </w:t>
            </w:r>
            <w:r>
              <w:t xml:space="preserve">“</w:t>
            </w:r>
            <w:r>
              <w:t xml:space="preserve">SPMBOK</w:t>
            </w:r>
            <w:r>
              <w:t xml:space="preserve">”</w:t>
            </w:r>
            <w:r>
              <w:t xml:space="preserve"> </w:t>
            </w:r>
            <w:r>
              <w:t xml:space="preserve">is the</w:t>
            </w:r>
            <w:r>
              <w:t xml:space="preserve"> </w:t>
            </w:r>
            <w:r>
              <w:rPr>
                <w:b/>
                <w:bCs/>
              </w:rPr>
              <w:t xml:space="preserve">Software Product Management Body of Knowledge</w:t>
            </w:r>
            <w:r>
              <w:t xml:space="preserve"> </w:t>
            </w:r>
            <w:r>
              <w:t xml:space="preserve">(ISPMA),</w:t>
            </w:r>
            <w:r>
              <w:t xml:space="preserve"> </w:t>
            </w:r>
            <w:r>
              <w:rPr>
                <w:i/>
                <w:iCs/>
              </w:rPr>
              <w:t xml:space="preserve">not</w:t>
            </w:r>
            <w:r>
              <w:t xml:space="preserve"> </w:t>
            </w:r>
            <w:r>
              <w:t xml:space="preserve">a Shipley credential. Shipley’s body of knowledge is its published guides (</w:t>
            </w:r>
            <w:r>
              <w:rPr>
                <w:i/>
                <w:iCs/>
              </w:rPr>
              <w:t xml:space="preserve">Shipley Proposal Guide</w:t>
            </w:r>
            <w:r>
              <w:t xml:space="preserve">,</w:t>
            </w:r>
            <w:r>
              <w:t xml:space="preserve"> </w:t>
            </w:r>
            <w:r>
              <w:rPr>
                <w:i/>
                <w:iCs/>
              </w:rPr>
              <w:t xml:space="preserve">Business Development Lifecycle Guide</w:t>
            </w:r>
            <w:r>
              <w:t xml:space="preserve">); the profession’s shared BOK is the</w:t>
            </w:r>
            <w:r>
              <w:t xml:space="preserve"> </w:t>
            </w:r>
            <w:r>
              <w:rPr>
                <w:b/>
                <w:bCs/>
              </w:rPr>
              <w:t xml:space="preserve">APMP BOK</w:t>
            </w:r>
            <w:r>
              <w:t xml:space="preserve">. Do not cite</w:t>
            </w:r>
            <w:r>
              <w:t xml:space="preserve"> </w:t>
            </w:r>
            <w:r>
              <w:t xml:space="preserve">“</w:t>
            </w:r>
            <w:r>
              <w:t xml:space="preserve">SPMBOK</w:t>
            </w:r>
            <w:r>
              <w:t xml:space="preserve">”</w:t>
            </w:r>
            <w:r>
              <w:t xml:space="preserve"> </w:t>
            </w:r>
            <w:r>
              <w:t xml:space="preserve">as a Shipley credential.</w:t>
            </w:r>
          </w:p>
        </w:tc>
      </w:tr>
      <w:tr>
        <w:tc>
          <w:tcPr/>
          <w:p>
            <w:pPr>
              <w:pStyle w:val="Compact"/>
              <w:jc w:val="left"/>
            </w:pPr>
            <w:r>
              <w:rPr>
                <w:b/>
                <w:bCs/>
              </w:rPr>
              <w:t xml:space="preserve">CCMA</w:t>
            </w:r>
          </w:p>
        </w:tc>
        <w:tc>
          <w:tcPr/>
          <w:p>
            <w:pPr>
              <w:pStyle w:val="Compact"/>
              <w:jc w:val="left"/>
            </w:pPr>
            <w:r>
              <w:t xml:space="preserve">NCMA</w:t>
            </w:r>
          </w:p>
        </w:tc>
        <w:tc>
          <w:tcPr/>
          <w:p>
            <w:pPr>
              <w:pStyle w:val="Compact"/>
              <w:jc w:val="left"/>
            </w:pPr>
            <w:r>
              <w:t xml:space="preserve">Entry</w:t>
            </w:r>
          </w:p>
        </w:tc>
        <w:tc>
          <w:tcPr/>
          <w:p>
            <w:pPr>
              <w:pStyle w:val="Compact"/>
              <w:jc w:val="left"/>
            </w:pPr>
            <w:r>
              <w:t xml:space="preserve">Bachelor’s</w:t>
            </w:r>
            <w:r>
              <w:t xml:space="preserve"> </w:t>
            </w:r>
            <w:r>
              <w:rPr>
                <w:b/>
                <w:bCs/>
              </w:rPr>
              <w:t xml:space="preserve">or</w:t>
            </w:r>
            <w:r>
              <w:t xml:space="preserve"> </w:t>
            </w:r>
            <w:r>
              <w:t xml:space="preserve">1 yr experience; 40 CPE; exam</w:t>
            </w:r>
          </w:p>
        </w:tc>
        <w:tc>
          <w:tcPr/>
          <w:p>
            <w:pPr>
              <w:pStyle w:val="Compact"/>
              <w:jc w:val="left"/>
            </w:pPr>
            <w:r>
              <w:t xml:space="preserve">Doctrine 01 (money, identifiers, FAR-as-governance in Doctrine 04)</w:t>
            </w:r>
          </w:p>
        </w:tc>
        <w:tc>
          <w:tcPr/>
          <w:p>
            <w:pPr>
              <w:pStyle w:val="Compact"/>
              <w:jc w:val="left"/>
            </w:pPr>
            <w:r>
              <w:t xml:space="preserve">CMBOK-based exam; contract-management work experience. Curriculum covers the</w:t>
            </w:r>
            <w:r>
              <w:t xml:space="preserve"> </w:t>
            </w:r>
            <w:r>
              <w:rPr>
                <w:i/>
                <w:iCs/>
              </w:rPr>
              <w:t xml:space="preserve">environment</w:t>
            </w:r>
            <w:r>
              <w:t xml:space="preserve">, not the contract-management craft.</w:t>
            </w:r>
          </w:p>
        </w:tc>
      </w:tr>
      <w:tr>
        <w:tc>
          <w:tcPr/>
          <w:p>
            <w:pPr>
              <w:pStyle w:val="Compact"/>
              <w:jc w:val="left"/>
            </w:pPr>
            <w:r>
              <w:rPr>
                <w:b/>
                <w:bCs/>
              </w:rPr>
              <w:t xml:space="preserve">CFCM</w:t>
            </w:r>
          </w:p>
        </w:tc>
        <w:tc>
          <w:tcPr/>
          <w:p>
            <w:pPr>
              <w:pStyle w:val="Compact"/>
              <w:jc w:val="left"/>
            </w:pPr>
            <w:r>
              <w:t xml:space="preserve">NCMA</w:t>
            </w:r>
          </w:p>
        </w:tc>
        <w:tc>
          <w:tcPr/>
          <w:p>
            <w:pPr>
              <w:pStyle w:val="Compact"/>
              <w:jc w:val="left"/>
            </w:pPr>
            <w:r>
              <w:t xml:space="preserve">Mid (federal)</w:t>
            </w:r>
          </w:p>
        </w:tc>
        <w:tc>
          <w:tcPr/>
          <w:p>
            <w:pPr>
              <w:pStyle w:val="Compact"/>
              <w:jc w:val="left"/>
            </w:pPr>
            <w:r>
              <w:t xml:space="preserve">Bachelor’s + 2 yrs contract mgmt; 80 CPE; 150-Q FAR-based exam</w:t>
            </w:r>
          </w:p>
        </w:tc>
        <w:tc>
          <w:tcPr/>
          <w:p>
            <w:pPr>
              <w:pStyle w:val="Compact"/>
              <w:jc w:val="left"/>
            </w:pPr>
            <w:r>
              <w:t xml:space="preserve">Doctrine 01/02/04 (solicitations, FAR governance)</w:t>
            </w:r>
          </w:p>
        </w:tc>
        <w:tc>
          <w:tcPr/>
          <w:p>
            <w:pPr>
              <w:pStyle w:val="Compact"/>
              <w:jc w:val="left"/>
            </w:pPr>
            <w:r>
              <w:rPr>
                <w:b/>
                <w:bCs/>
              </w:rPr>
              <w:t xml:space="preserve">FAR article-level depth is not taught.</w:t>
            </w:r>
            <w:r>
              <w:t xml:space="preserve"> </w:t>
            </w:r>
            <w:r>
              <w:t xml:space="preserve">CFCM is a FAR exam; this is the largest gap in the curriculum’s NCMA alignment.</w:t>
            </w:r>
          </w:p>
        </w:tc>
      </w:tr>
      <w:tr>
        <w:tc>
          <w:tcPr/>
          <w:p>
            <w:pPr>
              <w:pStyle w:val="Compact"/>
              <w:jc w:val="left"/>
            </w:pPr>
            <w:r>
              <w:rPr>
                <w:b/>
                <w:bCs/>
              </w:rPr>
              <w:t xml:space="preserve">CCCM</w:t>
            </w:r>
          </w:p>
        </w:tc>
        <w:tc>
          <w:tcPr/>
          <w:p>
            <w:pPr>
              <w:pStyle w:val="Compact"/>
              <w:jc w:val="left"/>
            </w:pPr>
            <w:r>
              <w:t xml:space="preserve">NCMA</w:t>
            </w:r>
          </w:p>
        </w:tc>
        <w:tc>
          <w:tcPr/>
          <w:p>
            <w:pPr>
              <w:pStyle w:val="Compact"/>
              <w:jc w:val="left"/>
            </w:pPr>
            <w:r>
              <w:t xml:space="preserve">Mid (commercial)</w:t>
            </w:r>
          </w:p>
        </w:tc>
        <w:tc>
          <w:tcPr/>
          <w:p>
            <w:pPr>
              <w:pStyle w:val="Compact"/>
              <w:jc w:val="left"/>
            </w:pPr>
            <w:r>
              <w:t xml:space="preserve">Bachelor’s + 2 yrs contract mgmt; 80 CPE; UCC-based exam</w:t>
            </w:r>
          </w:p>
        </w:tc>
        <w:tc>
          <w:tcPr/>
          <w:p>
            <w:pPr>
              <w:pStyle w:val="Compact"/>
              <w:jc w:val="left"/>
            </w:pPr>
            <w:r>
              <w:t xml:space="preserve">Little alignment — curriculum is federal-forward</w:t>
            </w:r>
          </w:p>
        </w:tc>
        <w:tc>
          <w:tcPr/>
          <w:p>
            <w:pPr>
              <w:pStyle w:val="Compact"/>
              <w:jc w:val="left"/>
            </w:pPr>
            <w:r>
              <w:t xml:space="preserve">UCC/commercial contracting knowledge + experience.</w:t>
            </w:r>
          </w:p>
        </w:tc>
      </w:tr>
      <w:tr>
        <w:tc>
          <w:tcPr/>
          <w:p>
            <w:pPr>
              <w:pStyle w:val="Compact"/>
              <w:jc w:val="left"/>
            </w:pPr>
            <w:r>
              <w:rPr>
                <w:b/>
                <w:bCs/>
              </w:rPr>
              <w:t xml:space="preserve">CPCM</w:t>
            </w:r>
          </w:p>
        </w:tc>
        <w:tc>
          <w:tcPr/>
          <w:p>
            <w:pPr>
              <w:pStyle w:val="Compact"/>
              <w:jc w:val="left"/>
            </w:pPr>
            <w:r>
              <w:t xml:space="preserve">NCMA</w:t>
            </w:r>
          </w:p>
        </w:tc>
        <w:tc>
          <w:tcPr/>
          <w:p>
            <w:pPr>
              <w:pStyle w:val="Compact"/>
              <w:jc w:val="left"/>
            </w:pPr>
            <w:r>
              <w:t xml:space="preserve">Senior</w:t>
            </w:r>
          </w:p>
        </w:tc>
        <w:tc>
          <w:tcPr/>
          <w:p>
            <w:pPr>
              <w:pStyle w:val="Compact"/>
              <w:jc w:val="left"/>
            </w:pPr>
            <w:r>
              <w:t xml:space="preserve">Bachelor’s + 5 yrs contract mgmt; 120 CPE; ~179-Q CMBOK exam</w:t>
            </w:r>
          </w:p>
        </w:tc>
        <w:tc>
          <w:tcPr/>
          <w:p>
            <w:pPr>
              <w:pStyle w:val="Compact"/>
              <w:jc w:val="left"/>
            </w:pPr>
            <w:r>
              <w:t xml:space="preserve">Doctrine 01/04 pre-award + governance concepts</w:t>
            </w:r>
          </w:p>
        </w:tc>
        <w:tc>
          <w:tcPr/>
          <w:p>
            <w:pPr>
              <w:pStyle w:val="Compact"/>
              <w:jc w:val="left"/>
            </w:pPr>
            <w:r>
              <w:rPr>
                <w:b/>
                <w:bCs/>
              </w:rPr>
              <w:t xml:space="preserve">Post-award administration is not taught</w:t>
            </w:r>
            <w:r>
              <w:t xml:space="preserve"> </w:t>
            </w:r>
            <w:r>
              <w:t xml:space="preserve">(performance, modifications, terminations, closeout). CPCM spans the full lifecycle; curriculum stops at award/deliver conceptually.</w:t>
            </w:r>
          </w:p>
        </w:tc>
      </w:tr>
      <w:tr>
        <w:tc>
          <w:tcPr/>
          <w:p>
            <w:pPr>
              <w:pStyle w:val="Compact"/>
              <w:jc w:val="left"/>
            </w:pPr>
            <w:r>
              <w:rPr>
                <w:b/>
                <w:bCs/>
              </w:rPr>
              <w:t xml:space="preserve">FAC-C (Professional)</w:t>
            </w:r>
          </w:p>
        </w:tc>
        <w:tc>
          <w:tcPr/>
          <w:p>
            <w:pPr>
              <w:pStyle w:val="Compact"/>
              <w:jc w:val="left"/>
            </w:pPr>
            <w:r>
              <w:t xml:space="preserve">FAI (gov-side)</w:t>
            </w:r>
          </w:p>
        </w:tc>
        <w:tc>
          <w:tcPr/>
          <w:p>
            <w:pPr>
              <w:pStyle w:val="Compact"/>
              <w:jc w:val="left"/>
            </w:pPr>
            <w:r>
              <w:t xml:space="preserve">Government cert</w:t>
            </w:r>
          </w:p>
        </w:tc>
        <w:tc>
          <w:tcPr/>
          <w:p>
            <w:pPr>
              <w:pStyle w:val="Compact"/>
              <w:jc w:val="left"/>
            </w:pPr>
            <w:r>
              <w:t xml:space="preserve">Federal employment/role; CON 1100–1400 DAU-equivalents; 1 yr experience</w:t>
            </w:r>
          </w:p>
        </w:tc>
        <w:tc>
          <w:tcPr/>
          <w:p>
            <w:pPr>
              <w:pStyle w:val="Compact"/>
              <w:jc w:val="left"/>
            </w:pPr>
            <w:r>
              <w:t xml:space="preserve">Doctrine 01 (money flow, FAR), 02 (solicitations), 04 (governance)</w:t>
            </w:r>
          </w:p>
        </w:tc>
        <w:tc>
          <w:tcPr/>
          <w:p>
            <w:pPr>
              <w:pStyle w:val="Compact"/>
              <w:jc w:val="left"/>
            </w:pPr>
            <w:r>
              <w:t xml:space="preserve">Not an industry credential — it certifies the</w:t>
            </w:r>
            <w:r>
              <w:t xml:space="preserve"> </w:t>
            </w:r>
            <w:r>
              <w:rPr>
                <w:i/>
                <w:iCs/>
              </w:rPr>
              <w:t xml:space="preserve">government side</w:t>
            </w:r>
            <w:r>
              <w:t xml:space="preserve"> </w:t>
            </w:r>
            <w:r>
              <w:t xml:space="preserve">of the transaction. Curriculum teaches the private-side mirror. Requires CON 1100/1200/1300/1400 + a government contracting role.</w:t>
            </w:r>
          </w:p>
        </w:tc>
      </w:tr>
      <w:tr>
        <w:tc>
          <w:tcPr/>
          <w:p>
            <w:pPr>
              <w:pStyle w:val="Compact"/>
              <w:jc w:val="left"/>
            </w:pPr>
            <w:r>
              <w:rPr>
                <w:b/>
                <w:bCs/>
              </w:rPr>
              <w:t xml:space="preserve">DAWIA Contracting (Professional)</w:t>
            </w:r>
          </w:p>
        </w:tc>
        <w:tc>
          <w:tcPr/>
          <w:p>
            <w:pPr>
              <w:pStyle w:val="Compact"/>
              <w:jc w:val="left"/>
            </w:pPr>
            <w:r>
              <w:t xml:space="preserve">DAU (DoD)</w:t>
            </w:r>
          </w:p>
        </w:tc>
        <w:tc>
          <w:tcPr/>
          <w:p>
            <w:pPr>
              <w:pStyle w:val="Compact"/>
              <w:jc w:val="left"/>
            </w:pPr>
            <w:r>
              <w:t xml:space="preserve">Government cert</w:t>
            </w:r>
          </w:p>
        </w:tc>
        <w:tc>
          <w:tcPr/>
          <w:p>
            <w:pPr>
              <w:pStyle w:val="Compact"/>
              <w:jc w:val="left"/>
            </w:pPr>
            <w:r>
              <w:t xml:space="preserve">DoD workforce role; CON 1100–1400V + CON 3900V exam; 1 yr experience</w:t>
            </w:r>
          </w:p>
        </w:tc>
        <w:tc>
          <w:tcPr/>
          <w:p>
            <w:pPr>
              <w:pStyle w:val="Compact"/>
              <w:jc w:val="left"/>
            </w:pPr>
            <w:r>
              <w:t xml:space="preserve">Same as FAC-C</w:t>
            </w:r>
          </w:p>
        </w:tc>
        <w:tc>
          <w:tcPr/>
          <w:p>
            <w:pPr>
              <w:pStyle w:val="Compact"/>
              <w:jc w:val="left"/>
            </w:pPr>
            <w:r>
              <w:t xml:space="preserve">Same government-side caveat; DoD-specific.</w:t>
            </w:r>
          </w:p>
        </w:tc>
      </w:tr>
      <w:tr>
        <w:tc>
          <w:tcPr/>
          <w:p>
            <w:pPr>
              <w:pStyle w:val="Compact"/>
              <w:jc w:val="left"/>
            </w:pPr>
            <w:r>
              <w:rPr>
                <w:b/>
                <w:bCs/>
              </w:rPr>
              <w:t xml:space="preserve">DAWIA Business Financial Mgmt / Cost Estimating</w:t>
            </w:r>
          </w:p>
        </w:tc>
        <w:tc>
          <w:tcPr/>
          <w:p>
            <w:pPr>
              <w:pStyle w:val="Compact"/>
              <w:jc w:val="left"/>
            </w:pPr>
            <w:r>
              <w:t xml:space="preserve">DAU</w:t>
            </w:r>
          </w:p>
        </w:tc>
        <w:tc>
          <w:tcPr/>
          <w:p>
            <w:pPr>
              <w:pStyle w:val="Compact"/>
              <w:jc w:val="left"/>
            </w:pPr>
            <w:r>
              <w:t xml:space="preserve">Government cert</w:t>
            </w:r>
          </w:p>
        </w:tc>
        <w:tc>
          <w:tcPr/>
          <w:p>
            <w:pPr>
              <w:pStyle w:val="Compact"/>
              <w:jc w:val="left"/>
            </w:pPr>
            <w:r>
              <w:t xml:space="preserve">4–6 yrs acquisition FM/CE experience; BUS 1100, BFM/BCE courses</w:t>
            </w:r>
          </w:p>
        </w:tc>
        <w:tc>
          <w:tcPr/>
          <w:p>
            <w:pPr>
              <w:pStyle w:val="Compact"/>
              <w:jc w:val="left"/>
            </w:pPr>
            <w:r>
              <w:t xml:space="preserve">Doctrine 05 pricing/cost concepts at concept level only</w:t>
            </w:r>
          </w:p>
        </w:tc>
        <w:tc>
          <w:tcPr/>
          <w:p>
            <w:pPr>
              <w:pStyle w:val="Compact"/>
              <w:jc w:val="left"/>
            </w:pPr>
            <w:r>
              <w:t xml:space="preserve">Government role + finance/estimating coursework. The curriculum’s price-to-win is strategic, not a cost-estimating credential path.</w:t>
            </w:r>
          </w:p>
        </w:tc>
      </w:tr>
      <w:tr>
        <w:tc>
          <w:tcPr/>
          <w:p>
            <w:pPr>
              <w:pStyle w:val="Compact"/>
              <w:jc w:val="left"/>
            </w:pPr>
            <w:r>
              <w:rPr>
                <w:b/>
                <w:bCs/>
              </w:rPr>
              <w:t xml:space="preserve">PMP</w:t>
            </w:r>
          </w:p>
        </w:tc>
        <w:tc>
          <w:tcPr/>
          <w:p>
            <w:pPr>
              <w:pStyle w:val="Compact"/>
              <w:jc w:val="left"/>
            </w:pPr>
            <w:r>
              <w:t xml:space="preserve">PMI</w:t>
            </w:r>
          </w:p>
        </w:tc>
        <w:tc>
          <w:tcPr/>
          <w:p>
            <w:pPr>
              <w:pStyle w:val="Compact"/>
              <w:jc w:val="left"/>
            </w:pPr>
            <w:r>
              <w:t xml:space="preserve">Senior (project mgmt)</w:t>
            </w:r>
          </w:p>
        </w:tc>
        <w:tc>
          <w:tcPr/>
          <w:p>
            <w:pPr>
              <w:pStyle w:val="Compact"/>
              <w:jc w:val="left"/>
            </w:pPr>
            <w:r>
              <w:t xml:space="preserve">36–60 mo project experience + 35 hrs training; 180-Q exam; 60 PDUs/3 yrs</w:t>
            </w:r>
          </w:p>
        </w:tc>
        <w:tc>
          <w:tcPr/>
          <w:p>
            <w:pPr>
              <w:pStyle w:val="Compact"/>
              <w:jc w:val="left"/>
            </w:pPr>
            <w:r>
              <w:t xml:space="preserve">MBA-2 (price-to-win, scheduling-adjacent); MBA-6 (portfolio); SI-6 (leader’s dashboard)</w:t>
            </w:r>
          </w:p>
        </w:tc>
        <w:tc>
          <w:tcPr/>
          <w:p>
            <w:pPr>
              <w:pStyle w:val="Compact"/>
              <w:jc w:val="left"/>
            </w:pPr>
            <w:r>
              <w:rPr>
                <w:b/>
                <w:bCs/>
              </w:rPr>
              <w:t xml:space="preserve">Project-management discipline (scope/schedule/cost/EVM) is not taught.</w:t>
            </w:r>
            <w:r>
              <w:t xml:space="preserve"> </w:t>
            </w:r>
            <w:r>
              <w:t xml:space="preserve">PMP is a different body of knowledge (PMBOK); curriculum aligns only at the portfolio/business edge. CAPM is the entry analog.</w:t>
            </w:r>
          </w:p>
        </w:tc>
      </w:tr>
      <w:tr>
        <w:tc>
          <w:tcPr/>
          <w:p>
            <w:pPr>
              <w:pStyle w:val="Compact"/>
              <w:jc w:val="left"/>
            </w:pPr>
            <w:r>
              <w:rPr>
                <w:b/>
                <w:bCs/>
              </w:rPr>
              <w:t xml:space="preserve">CPSM</w:t>
            </w:r>
          </w:p>
        </w:tc>
        <w:tc>
          <w:tcPr/>
          <w:p>
            <w:pPr>
              <w:pStyle w:val="Compact"/>
              <w:jc w:val="left"/>
            </w:pPr>
            <w:r>
              <w:t xml:space="preserve">SMPS</w:t>
            </w:r>
          </w:p>
        </w:tc>
        <w:tc>
          <w:tcPr/>
          <w:p>
            <w:pPr>
              <w:pStyle w:val="Compact"/>
              <w:jc w:val="left"/>
            </w:pPr>
            <w:r>
              <w:t xml:space="preserve">Mid (services marketing/BD)</w:t>
            </w:r>
          </w:p>
        </w:tc>
        <w:tc>
          <w:tcPr/>
          <w:p>
            <w:pPr>
              <w:pStyle w:val="Compact"/>
              <w:jc w:val="left"/>
            </w:pPr>
            <w:r>
              <w:t xml:space="preserve">Bachelor’s + 4 yrs professional-services marketing/BD (or degreeless 8 yrs); 150-Q exam</w:t>
            </w:r>
          </w:p>
        </w:tc>
        <w:tc>
          <w:tcPr/>
          <w:p>
            <w:pPr>
              <w:pStyle w:val="Compact"/>
              <w:jc w:val="left"/>
            </w:pPr>
            <w:r>
              <w:t xml:space="preserve">MBA-4 (certifications as go-to-market); MBA-6 (board pitch); SI-4 (market map)</w:t>
            </w:r>
          </w:p>
        </w:tc>
        <w:tc>
          <w:tcPr/>
          <w:p>
            <w:pPr>
              <w:pStyle w:val="Compact"/>
              <w:jc w:val="left"/>
            </w:pPr>
            <w:r>
              <w:t xml:space="preserve">A/E/C-flavored marketing BD domains; the curriculum’s BD framing is federal-capture, not services marketing. Small overlap.</w:t>
            </w:r>
          </w:p>
        </w:tc>
      </w:tr>
      <w:tr>
        <w:tc>
          <w:tcPr/>
          <w:p>
            <w:pPr>
              <w:pStyle w:val="Compact"/>
              <w:jc w:val="left"/>
            </w:pPr>
            <w:r>
              <w:rPr>
                <w:b/>
                <w:bCs/>
              </w:rPr>
              <w:t xml:space="preserve">AAPTP</w:t>
            </w:r>
          </w:p>
        </w:tc>
        <w:tc>
          <w:tcPr/>
          <w:p>
            <w:pPr>
              <w:pStyle w:val="Compact"/>
              <w:jc w:val="left"/>
            </w:pPr>
            <w:r>
              <w:rPr>
                <w:i/>
                <w:iCs/>
              </w:rPr>
              <w:t xml:space="preserve">(unverified)</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
                <w:bCs/>
              </w:rPr>
              <w:t xml:space="preserve">Could not locate</w:t>
            </w:r>
            <w:r>
              <w:t xml:space="preserve"> </w:t>
            </w:r>
            <w:r>
              <w:t xml:space="preserve">any credential by this name from any issuing body (web research, 2026-08). Nearest plausible intent:</w:t>
            </w:r>
            <w:r>
              <w:t xml:space="preserve"> </w:t>
            </w:r>
            <w:r>
              <w:rPr>
                <w:b/>
                <w:bCs/>
              </w:rPr>
              <w:t xml:space="preserve">APTAC</w:t>
            </w:r>
            <w:r>
              <w:t xml:space="preserve"> </w:t>
            </w:r>
            <w:r>
              <w:t xml:space="preserve">(Association of Procurement Technical Assistance Centers) training for the</w:t>
            </w:r>
            <w:r>
              <w:t xml:space="preserve"> </w:t>
            </w:r>
            <w:r>
              <w:rPr>
                <w:i/>
                <w:iCs/>
              </w:rPr>
              <w:t xml:space="preserve">business</w:t>
            </w:r>
            <w:r>
              <w:t xml:space="preserve"> </w:t>
            </w:r>
            <w:r>
              <w:t xml:space="preserve">side, or a government acquisition-academy program.</w:t>
            </w:r>
            <w:r>
              <w:t xml:space="preserve"> </w:t>
            </w:r>
            <w:r>
              <w:rPr>
                <w:b/>
                <w:bCs/>
              </w:rPr>
              <w:t xml:space="preserve">Do not cite until confirmed.</w:t>
            </w:r>
          </w:p>
        </w:tc>
      </w:tr>
      <w:tr>
        <w:tc>
          <w:tcPr/>
          <w:p>
            <w:pPr>
              <w:pStyle w:val="Compact"/>
              <w:jc w:val="left"/>
            </w:pPr>
            <w:r>
              <w:rPr>
                <w:b/>
                <w:bCs/>
              </w:rPr>
              <w:t xml:space="preserve">ACP-WI</w:t>
            </w:r>
          </w:p>
        </w:tc>
        <w:tc>
          <w:tcPr/>
          <w:p>
            <w:pPr>
              <w:pStyle w:val="Compact"/>
              <w:jc w:val="left"/>
            </w:pPr>
            <w:r>
              <w:rPr>
                <w:i/>
                <w:iCs/>
              </w:rPr>
              <w:t xml:space="preserve">(unverified)</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rPr>
                <w:b/>
                <w:bCs/>
              </w:rPr>
              <w:t xml:space="preserve">Could not locate.</w:t>
            </w:r>
            <w:r>
              <w:t xml:space="preserve"> </w:t>
            </w:r>
            <w:r>
              <w:t xml:space="preserve">Plausible readings: a mis-remembered</w:t>
            </w:r>
            <w:r>
              <w:t xml:space="preserve"> </w:t>
            </w:r>
            <w:r>
              <w:rPr>
                <w:b/>
                <w:bCs/>
              </w:rPr>
              <w:t xml:space="preserve">PMI-ACP</w:t>
            </w:r>
            <w:r>
              <w:t xml:space="preserve"> </w:t>
            </w:r>
            <w:r>
              <w:t xml:space="preserve">(Agile), a</w:t>
            </w:r>
            <w:r>
              <w:t xml:space="preserve"> </w:t>
            </w:r>
            <w:r>
              <w:rPr>
                <w:b/>
                <w:bCs/>
              </w:rPr>
              <w:t xml:space="preserve">CP APMP</w:t>
            </w:r>
            <w:r>
              <w:t xml:space="preserve"> </w:t>
            </w:r>
            <w:r>
              <w:t xml:space="preserve">inversion, or a local chapter designation.</w:t>
            </w:r>
            <w:r>
              <w:t xml:space="preserve"> </w:t>
            </w:r>
            <w:r>
              <w:rPr>
                <w:b/>
                <w:bCs/>
              </w:rPr>
              <w:t xml:space="preserve">Do not cite until confirmed.</w:t>
            </w:r>
          </w:p>
        </w:tc>
      </w:tr>
    </w:tbl>
    <w:p>
      <w:r>
        <w:pict>
          <v:rect style="width:0;height:1.5pt" o:hralign="center" o:hrstd="t" o:hr="t"/>
        </w:pict>
      </w:r>
    </w:p>
    <w:bookmarkEnd w:id="21"/>
    <w:bookmarkStart w:id="22" w:name="Xc92bf1f911433b80c97a572114f84ecc69ea0e9"/>
    <w:p>
      <w:pPr>
        <w:pStyle w:val="Heading2"/>
      </w:pPr>
      <w:r>
        <w:t xml:space="preserve">2. APMP — Association of Proposal Management Professionals</w:t>
      </w:r>
    </w:p>
    <w:p>
      <w:pPr>
        <w:pStyle w:val="FirstParagraph"/>
      </w:pPr>
      <w:r>
        <w:rPr>
          <w:b/>
          <w:bCs/>
        </w:rPr>
        <w:t xml:space="preserve">What it is.</w:t>
      </w:r>
      <w:r>
        <w:t xml:space="preserve"> </w:t>
      </w:r>
      <w:r>
        <w:t xml:space="preserve">The international professional body for bid, proposal, and capture professionals. Its</w:t>
      </w:r>
      <w:r>
        <w:t xml:space="preserve"> </w:t>
      </w:r>
      <w:r>
        <w:rPr>
          <w:b/>
          <w:bCs/>
        </w:rPr>
        <w:t xml:space="preserve">Body of Knowledge (BOK)</w:t>
      </w:r>
      <w:r>
        <w:t xml:space="preserve"> </w:t>
      </w:r>
      <w:r>
        <w:t xml:space="preserve">is the profession’s closest thing to a shared textbook — 51 topics across seven categories, plus a glossary, acronym list, and tool/template repository. This is the vocabulary the curriculum explicitly teaches by name (see</w:t>
      </w:r>
      <w:r>
        <w:t xml:space="preserve"> </w:t>
      </w:r>
      <w:r>
        <w:rPr>
          <w:rStyle w:val="VerbatimChar"/>
        </w:rPr>
        <w:t xml:space="preserve">literacy/industry-standard-canon.md</w:t>
      </w:r>
      <w:r>
        <w:t xml:space="preserve">, merged).</w:t>
      </w:r>
    </w:p>
    <w:p>
      <w:pPr>
        <w:pStyle w:val="BodyText"/>
      </w:pPr>
      <w:r>
        <w:rPr>
          <w:b/>
          <w:bCs/>
        </w:rPr>
        <w:t xml:space="preserve">Current ladder (verified from APMP-ANZ and chapter sources, 2026):</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Rung</w:t>
            </w:r>
          </w:p>
        </w:tc>
        <w:tc>
          <w:tcPr/>
          <w:p>
            <w:pPr>
              <w:pStyle w:val="Compact"/>
              <w:jc w:val="left"/>
            </w:pPr>
            <w:r>
              <w:t xml:space="preserve">Name</w:t>
            </w:r>
          </w:p>
        </w:tc>
        <w:tc>
          <w:tcPr/>
          <w:p>
            <w:pPr>
              <w:pStyle w:val="Compact"/>
              <w:jc w:val="left"/>
            </w:pPr>
            <w:r>
              <w:t xml:space="preserve">Experience</w:t>
            </w:r>
          </w:p>
        </w:tc>
        <w:tc>
          <w:tcPr/>
          <w:p>
            <w:pPr>
              <w:pStyle w:val="Compact"/>
              <w:jc w:val="left"/>
            </w:pPr>
            <w:r>
              <w:t xml:space="preserve">Assessment</w:t>
            </w:r>
          </w:p>
        </w:tc>
      </w:tr>
      <w:tr>
        <w:tc>
          <w:tcPr/>
          <w:p>
            <w:pPr>
              <w:pStyle w:val="Compact"/>
              <w:jc w:val="left"/>
            </w:pPr>
            <w:r>
              <w:t xml:space="preserve">1</w:t>
            </w:r>
          </w:p>
        </w:tc>
        <w:tc>
          <w:tcPr/>
          <w:p>
            <w:pPr>
              <w:pStyle w:val="Compact"/>
              <w:jc w:val="left"/>
            </w:pPr>
            <w:r>
              <w:rPr>
                <w:b/>
                <w:bCs/>
              </w:rPr>
              <w:t xml:space="preserve">Foundation</w:t>
            </w:r>
          </w:p>
        </w:tc>
        <w:tc>
          <w:tcPr/>
          <w:p>
            <w:pPr>
              <w:pStyle w:val="Compact"/>
              <w:jc w:val="left"/>
            </w:pPr>
            <w:r>
              <w:t xml:space="preserve">1–3 yrs</w:t>
            </w:r>
          </w:p>
        </w:tc>
        <w:tc>
          <w:tcPr/>
          <w:p>
            <w:pPr>
              <w:pStyle w:val="Compact"/>
              <w:jc w:val="left"/>
            </w:pPr>
            <w:r>
              <w:t xml:space="preserve">1-hr, 75-Q, multiple-choice, pass-fail, open-book exam</w:t>
            </w:r>
          </w:p>
        </w:tc>
      </w:tr>
      <w:tr>
        <w:tc>
          <w:tcPr/>
          <w:p>
            <w:pPr>
              <w:pStyle w:val="Compact"/>
              <w:jc w:val="left"/>
            </w:pPr>
            <w:r>
              <w:t xml:space="preserve">2</w:t>
            </w:r>
          </w:p>
        </w:tc>
        <w:tc>
          <w:tcPr/>
          <w:p>
            <w:pPr>
              <w:pStyle w:val="Compact"/>
              <w:jc w:val="left"/>
            </w:pPr>
            <w:r>
              <w:rPr>
                <w:b/>
                <w:bCs/>
              </w:rPr>
              <w:t xml:space="preserve">Practitioner</w:t>
            </w:r>
          </w:p>
        </w:tc>
        <w:tc>
          <w:tcPr/>
          <w:p>
            <w:pPr>
              <w:pStyle w:val="Compact"/>
              <w:jc w:val="left"/>
            </w:pPr>
            <w:r>
              <w:t xml:space="preserve">3–7 yrs</w:t>
            </w:r>
          </w:p>
        </w:tc>
        <w:tc>
          <w:tcPr/>
          <w:p>
            <w:pPr>
              <w:pStyle w:val="Compact"/>
              <w:jc w:val="left"/>
            </w:pPr>
            <w:r>
              <w:t xml:space="preserve">Applied assessment (demonstrate leading others in the practice)</w:t>
            </w:r>
          </w:p>
        </w:tc>
      </w:tr>
      <w:tr>
        <w:tc>
          <w:tcPr/>
          <w:p>
            <w:pPr>
              <w:pStyle w:val="Compact"/>
              <w:jc w:val="left"/>
            </w:pPr>
            <w:r>
              <w:t xml:space="preserve">3</w:t>
            </w:r>
          </w:p>
        </w:tc>
        <w:tc>
          <w:tcPr/>
          <w:p>
            <w:pPr>
              <w:pStyle w:val="Compact"/>
              <w:jc w:val="left"/>
            </w:pPr>
            <w:r>
              <w:rPr>
                <w:b/>
                <w:bCs/>
              </w:rPr>
              <w:t xml:space="preserve">Professional (CPP)</w:t>
            </w:r>
          </w:p>
        </w:tc>
        <w:tc>
          <w:tcPr/>
          <w:p>
            <w:pPr>
              <w:pStyle w:val="Compact"/>
              <w:jc w:val="left"/>
            </w:pPr>
            <w:r>
              <w:t xml:space="preserve">7+ yrs</w:t>
            </w:r>
          </w:p>
        </w:tc>
        <w:tc>
          <w:tcPr/>
          <w:p>
            <w:pPr>
              <w:pStyle w:val="Compact"/>
              <w:jc w:val="left"/>
            </w:pPr>
            <w:r>
              <w:t xml:space="preserve">3 parts: (1) professional reference across 9 competencies; (2) Professional Impact Paper (scored ≥41/48); (3) 20-min presentation + 25-min panel interview</w:t>
            </w:r>
          </w:p>
        </w:tc>
      </w:tr>
      <w:tr>
        <w:tc>
          <w:tcPr/>
          <w:p>
            <w:pPr>
              <w:pStyle w:val="Compact"/>
              <w:jc w:val="left"/>
            </w:pPr>
            <w:r>
              <w:t xml:space="preserve">+</w:t>
            </w:r>
          </w:p>
        </w:tc>
        <w:tc>
          <w:tcPr/>
          <w:p>
            <w:pPr>
              <w:pStyle w:val="Compact"/>
              <w:jc w:val="left"/>
            </w:pPr>
            <w:r>
              <w:rPr>
                <w:b/>
                <w:bCs/>
              </w:rPr>
              <w:t xml:space="preserve">Capture Practitioner / Professional</w:t>
            </w:r>
          </w:p>
        </w:tc>
        <w:tc>
          <w:tcPr/>
          <w:p>
            <w:pPr>
              <w:pStyle w:val="Compact"/>
              <w:jc w:val="left"/>
            </w:pPr>
            <w:r>
              <w:t xml:space="preserve">3+ yrs (capture)</w:t>
            </w:r>
          </w:p>
        </w:tc>
        <w:tc>
          <w:tcPr/>
          <w:p>
            <w:pPr>
              <w:pStyle w:val="Compact"/>
              <w:jc w:val="left"/>
            </w:pPr>
            <w:r>
              <w:t xml:space="preserve">Capture-focused exam; Foundation</w:t>
            </w:r>
            <w:r>
              <w:t xml:space="preserve"> </w:t>
            </w:r>
            <w:r>
              <w:rPr>
                <w:i/>
                <w:iCs/>
              </w:rPr>
              <w:t xml:space="preserve">not</w:t>
            </w:r>
            <w:r>
              <w:t xml:space="preserve"> </w:t>
            </w:r>
            <w:r>
              <w:t xml:space="preserve">a prerequisite</w:t>
            </w:r>
          </w:p>
        </w:tc>
      </w:tr>
    </w:tbl>
    <w:p>
      <w:pPr>
        <w:pStyle w:val="BodyText"/>
      </w:pPr>
      <w:r>
        <w:t xml:space="preserve">Micro-certifications (topic-level, open-book MC): Executive Summaries, Bid &amp; Proposal Writing, Graphics, Competitive Price To Win.</w:t>
      </w:r>
    </w:p>
    <w:p>
      <w:pPr>
        <w:pStyle w:val="BodyText"/>
      </w:pPr>
      <w:r>
        <w:rPr>
          <w:b/>
          <w:bCs/>
        </w:rPr>
        <w:t xml:space="preserve">Legacy tiers (needs confirmation).</w:t>
      </w:r>
      <w:r>
        <w:t xml:space="preserve"> </w:t>
      </w:r>
      <w:r>
        <w:t xml:space="preserve">Older industry references (e.g., Vault) name the first two rungs</w:t>
      </w:r>
      <w:r>
        <w:t xml:space="preserve"> </w:t>
      </w:r>
      <w:r>
        <w:rPr>
          <w:b/>
          <w:bCs/>
        </w:rPr>
        <w:t xml:space="preserve">CF APMP</w:t>
      </w:r>
      <w:r>
        <w:t xml:space="preserve"> </w:t>
      </w:r>
      <w:r>
        <w:t xml:space="preserve">(Certified Foundation) and</w:t>
      </w:r>
      <w:r>
        <w:t xml:space="preserve"> </w:t>
      </w:r>
      <w:r>
        <w:rPr>
          <w:b/>
          <w:bCs/>
        </w:rPr>
        <w:t xml:space="preserve">CP APMP</w:t>
      </w:r>
      <w:r>
        <w:t xml:space="preserve"> </w:t>
      </w:r>
      <w:r>
        <w:t xml:space="preserve">(Certified Practitioner), with</w:t>
      </w:r>
      <w:r>
        <w:t xml:space="preserve"> </w:t>
      </w:r>
      <w:r>
        <w:rPr>
          <w:b/>
          <w:bCs/>
        </w:rPr>
        <w:t xml:space="preserve">CPP</w:t>
      </w:r>
      <w:r>
        <w:t xml:space="preserve"> </w:t>
      </w:r>
      <w:r>
        <w:t xml:space="preserve">= Certified Proposal Professional at the top. Current APMP materials use Foundation/Practitioner/Professional. The task’s</w:t>
      </w:r>
      <w:r>
        <w:t xml:space="preserve"> </w:t>
      </w:r>
      <w:r>
        <w:t xml:space="preserve">“</w:t>
      </w:r>
      <w:r>
        <w:t xml:space="preserve">CP/CF APMP tiers</w:t>
      </w:r>
      <w:r>
        <w:t xml:space="preserve">”</w:t>
      </w:r>
      <w:r>
        <w:t xml:space="preserve"> </w:t>
      </w:r>
      <w:r>
        <w:t xml:space="preserve">match these legacy names; confirm the current canonical naming with APMP before the curriculum cites them.</w:t>
      </w:r>
    </w:p>
    <w:p>
      <w:pPr>
        <w:pStyle w:val="BodyText"/>
      </w:pPr>
      <w:r>
        <w:rPr>
          <w:b/>
          <w:bCs/>
        </w:rPr>
        <w:t xml:space="preserve">What a curriculum graduate already satisfies.</w:t>
      </w:r>
      <w:r>
        <w:t xml:space="preserve"> </w:t>
      </w:r>
      <w:r>
        <w:t xml:space="preserve">-</w:t>
      </w:r>
      <w:r>
        <w:t xml:space="preserve"> </w:t>
      </w:r>
      <w:r>
        <w:rPr>
          <w:b/>
          <w:bCs/>
        </w:rPr>
        <w:t xml:space="preserve">Conceptual foundation for Foundation + Practitioner:</w:t>
      </w:r>
      <w:r>
        <w:t xml:space="preserve"> </w:t>
      </w:r>
      <w:r>
        <w:t xml:space="preserve">the pipeline (Doctrine 03), gates (Doctrine 04), solicitation reading + compliance matrix (Doctrine 02; shared-core S3; midterm), scoring and price-to-win (Doctrine 05), ORBITAL structure (Doctrine 06). A graduate can</w:t>
      </w:r>
      <w:r>
        <w:t xml:space="preserve"> </w:t>
      </w:r>
      <w:r>
        <w:rPr>
          <w:i/>
          <w:iCs/>
        </w:rPr>
        <w:t xml:space="preserve">speak the language</w:t>
      </w:r>
      <w:r>
        <w:t xml:space="preserve"> </w:t>
      </w:r>
      <w:r>
        <w:t xml:space="preserve">and</w:t>
      </w:r>
      <w:r>
        <w:t xml:space="preserve"> </w:t>
      </w:r>
      <w:r>
        <w:rPr>
          <w:i/>
          <w:iCs/>
        </w:rPr>
        <w:t xml:space="preserve">perform the work artifacts</w:t>
      </w:r>
      <w:r>
        <w:t xml:space="preserve"> </w:t>
      </w:r>
      <w:r>
        <w:t xml:space="preserve">the BOK describes.</w:t>
      </w:r>
      <w:r>
        <w:t xml:space="preserve"> </w:t>
      </w:r>
      <w:r>
        <w:t xml:space="preserve">-</w:t>
      </w:r>
      <w:r>
        <w:t xml:space="preserve"> </w:t>
      </w:r>
      <w:r>
        <w:rPr>
          <w:b/>
          <w:bCs/>
        </w:rPr>
        <w:t xml:space="preserve">Capture-facing concepts:</w:t>
      </w:r>
      <w:r>
        <w:t xml:space="preserve"> </w:t>
      </w:r>
      <w:r>
        <w:t xml:space="preserve">gates, bid/no-bid, scoring, capture-readiness concepts map to the DNA’s Shipley/APMP rule sets in</w:t>
      </w:r>
      <w:r>
        <w:t xml:space="preserve"> </w:t>
      </w:r>
      <w:r>
        <w:rPr>
          <w:rStyle w:val="VerbatimChar"/>
        </w:rPr>
        <w:t xml:space="preserve">align/concept-to-system-map.md</w:t>
      </w:r>
      <w:r>
        <w:t xml:space="preserve"> </w:t>
      </w:r>
      <w:r>
        <w:t xml:space="preserve">§4–5 (e.g.,</w:t>
      </w:r>
      <w:r>
        <w:t xml:space="preserve"> </w:t>
      </w:r>
      <w:r>
        <w:rPr>
          <w:rStyle w:val="VerbatimChar"/>
        </w:rPr>
        <w:t xml:space="preserve">rules/shipley-capture-gates.yaml</w:t>
      </w:r>
      <w:r>
        <w:t xml:space="preserve">,</w:t>
      </w:r>
      <w:r>
        <w:t xml:space="preserve"> </w:t>
      </w:r>
      <w:r>
        <w:rPr>
          <w:rStyle w:val="VerbatimChar"/>
        </w:rPr>
        <w:t xml:space="preserve">playbooks/apmp/*</w:t>
      </w:r>
      <w:r>
        <w:t xml:space="preserve">).</w:t>
      </w:r>
    </w:p>
    <w:p>
      <w:pPr>
        <w:pStyle w:val="BodyText"/>
      </w:pPr>
      <w:r>
        <w:rPr>
          <w:b/>
          <w:bCs/>
        </w:rPr>
        <w:t xml:space="preserve">Incremental step to earn it.</w:t>
      </w:r>
      <w:r>
        <w:t xml:space="preserve"> </w:t>
      </w:r>
      <w:r>
        <w:t xml:space="preserve">1. Buy the current</w:t>
      </w:r>
      <w:r>
        <w:t xml:space="preserve"> </w:t>
      </w:r>
      <w:r>
        <w:rPr>
          <w:b/>
          <w:bCs/>
        </w:rPr>
        <w:t xml:space="preserve">APMP Foundation Study Guide</w:t>
      </w:r>
      <w:r>
        <w:t xml:space="preserve"> </w:t>
      </w:r>
      <w:r>
        <w:t xml:space="preserve">and the</w:t>
      </w:r>
      <w:r>
        <w:t xml:space="preserve"> </w:t>
      </w:r>
      <w:r>
        <w:rPr>
          <w:b/>
          <w:bCs/>
        </w:rPr>
        <w:t xml:space="preserve">APMP BOK</w:t>
      </w:r>
      <w:r>
        <w:t xml:space="preserve"> </w:t>
      </w:r>
      <w:r>
        <w:t xml:space="preserve">(body’s own materials).</w:t>
      </w:r>
      <w:r>
        <w:t xml:space="preserve"> </w:t>
      </w:r>
      <w:r>
        <w:t xml:space="preserve">2. Register for and pass the Foundation exam (~$125–300, member-discounted; non-members pay more).</w:t>
      </w:r>
      <w:r>
        <w:t xml:space="preserve"> </w:t>
      </w:r>
      <w:r>
        <w:t xml:space="preserve">3. For Practitioner/CPP: accumulate the required years of verifiable bid/proposal work, then complete the applied assessment / paper + panel interview.</w:t>
      </w:r>
      <w:r>
        <w:t xml:space="preserve"> </w:t>
      </w:r>
      <w:r>
        <w:t xml:space="preserve">4. Maintain with continuing professional development (CPD) points on the body’s cadence.</w:t>
      </w:r>
    </w:p>
    <w:p>
      <w:pPr>
        <w:pStyle w:val="BodyText"/>
      </w:pPr>
      <w:r>
        <w:rPr>
          <w:b/>
          <w:bCs/>
        </w:rPr>
        <w:t xml:space="preserve">Gap the curriculum would need to close to become honest prep:</w:t>
      </w:r>
      <w:r>
        <w:t xml:space="preserve"> </w:t>
      </w:r>
      <w:r>
        <w:t xml:space="preserve">nothing the curriculum can fix — the experience years and the body’s own assessment instruments are outside any curriculum’s reach. The curriculum’s contribution is the knowledge base and the artifacts (compliance matrix, ORBITAL, score sheet) that double as evidence of applied practice.</w:t>
      </w:r>
    </w:p>
    <w:p>
      <w:r>
        <w:pict>
          <v:rect style="width:0;height:1.5pt" o:hralign="center" o:hrstd="t" o:hr="t"/>
        </w:pict>
      </w:r>
    </w:p>
    <w:bookmarkEnd w:id="22"/>
    <w:bookmarkStart w:id="23" w:name="Xf93c56aa4e364aa7ff27b33d07d14263e63507e"/>
    <w:p>
      <w:pPr>
        <w:pStyle w:val="Heading2"/>
      </w:pPr>
      <w:r>
        <w:t xml:space="preserve">3. Shipley Associates — method certification and the</w:t>
      </w:r>
      <w:r>
        <w:t xml:space="preserve"> </w:t>
      </w:r>
      <w:r>
        <w:t xml:space="preserve">“</w:t>
      </w:r>
      <w:r>
        <w:t xml:space="preserve">SPMBOK</w:t>
      </w:r>
      <w:r>
        <w:t xml:space="preserve">”</w:t>
      </w:r>
      <w:r>
        <w:t xml:space="preserve"> </w:t>
      </w:r>
      <w:r>
        <w:t xml:space="preserve">correction</w:t>
      </w:r>
    </w:p>
    <w:p>
      <w:pPr>
        <w:pStyle w:val="FirstParagraph"/>
      </w:pPr>
      <w:r>
        <w:rPr>
          <w:b/>
          <w:bCs/>
        </w:rPr>
        <w:t xml:space="preserve">What it is.</w:t>
      </w:r>
      <w:r>
        <w:t xml:space="preserve"> </w:t>
      </w:r>
      <w:r>
        <w:t xml:space="preserve">Shipley Associates (in practice since the 1970s) publishes the</w:t>
      </w:r>
      <w:r>
        <w:t xml:space="preserve"> </w:t>
      </w:r>
      <w:r>
        <w:rPr>
          <w:i/>
          <w:iCs/>
        </w:rPr>
        <w:t xml:space="preserve">Shipley Proposal Guide</w:t>
      </w:r>
      <w:r>
        <w:t xml:space="preserve">, the</w:t>
      </w:r>
      <w:r>
        <w:t xml:space="preserve"> </w:t>
      </w:r>
      <w:r>
        <w:rPr>
          <w:i/>
          <w:iCs/>
        </w:rPr>
        <w:t xml:space="preserve">Shipley Business Development Lifecycle Guide</w:t>
      </w:r>
      <w:r>
        <w:t xml:space="preserve">, and runs its own training + certification. It is a globally APMP-approved training organization, so Shipley courses can count toward APMP credentials. The</w:t>
      </w:r>
      <w:r>
        <w:t xml:space="preserve"> </w:t>
      </w:r>
      <w:r>
        <w:rPr>
          <w:b/>
          <w:bCs/>
        </w:rPr>
        <w:t xml:space="preserve">Business Development Lifecycle</w:t>
      </w:r>
      <w:r>
        <w:t xml:space="preserve"> </w:t>
      </w:r>
      <w:r>
        <w:t xml:space="preserve">is the widely used seven-phase model —</w:t>
      </w:r>
      <w:r>
        <w:t xml:space="preserve"> </w:t>
      </w:r>
      <w:r>
        <w:rPr>
          <w:rStyle w:val="VerbatimChar"/>
        </w:rPr>
        <w:t xml:space="preserve">marketing → capture → proposal → negotiate → award</w:t>
      </w:r>
      <w:r>
        <w:t xml:space="preserve"> </w:t>
      </w:r>
      <w:r>
        <w:t xml:space="preserve">— which the curriculum explicitly maps onto Doctrine 03 in</w:t>
      </w:r>
      <w:r>
        <w:t xml:space="preserve"> </w:t>
      </w:r>
      <w:r>
        <w:rPr>
          <w:rStyle w:val="VerbatimChar"/>
        </w:rPr>
        <w:t xml:space="preserve">literacy/industry-standard-canon.md</w:t>
      </w:r>
      <w:r>
        <w:t xml:space="preserve">.</w:t>
      </w:r>
    </w:p>
    <w:p>
      <w:pPr>
        <w:pStyle w:val="BodyText"/>
      </w:pPr>
      <w:r>
        <w:rPr>
          <w:b/>
          <w:bCs/>
        </w:rPr>
        <w:t xml:space="preserve">Certification structure (verified from shipleywins.com and the APAC region site, 2026 — regional variations exist):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Credential</w:t>
            </w:r>
          </w:p>
        </w:tc>
        <w:tc>
          <w:tcPr/>
          <w:p>
            <w:pPr>
              <w:pStyle w:val="Compact"/>
              <w:jc w:val="left"/>
            </w:pPr>
            <w:r>
              <w:t xml:space="preserve">Requirement</w:t>
            </w:r>
          </w:p>
        </w:tc>
        <w:tc>
          <w:tcPr/>
          <w:p>
            <w:pPr>
              <w:pStyle w:val="Compact"/>
              <w:jc w:val="left"/>
            </w:pPr>
            <w:r>
              <w:t xml:space="preserve">Assessment</w:t>
            </w:r>
          </w:p>
        </w:tc>
      </w:tr>
      <w:tr>
        <w:tc>
          <w:tcPr/>
          <w:p>
            <w:pPr>
              <w:pStyle w:val="Compact"/>
              <w:jc w:val="left"/>
            </w:pPr>
            <w:r>
              <w:rPr>
                <w:b/>
                <w:bCs/>
              </w:rPr>
              <w:t xml:space="preserve">Shipley Certified (One Star)</w:t>
            </w:r>
          </w:p>
        </w:tc>
        <w:tc>
          <w:tcPr/>
          <w:p>
            <w:pPr>
              <w:pStyle w:val="Compact"/>
              <w:jc w:val="left"/>
            </w:pPr>
            <w:r>
              <w:t xml:space="preserve">Complete one core module course:</w:t>
            </w:r>
            <w:r>
              <w:t xml:space="preserve"> </w:t>
            </w:r>
            <w:r>
              <w:rPr>
                <w:i/>
                <w:iCs/>
              </w:rPr>
              <w:t xml:space="preserve">Capturing New Business</w:t>
            </w:r>
            <w:r>
              <w:t xml:space="preserve"> </w:t>
            </w:r>
            <w:r>
              <w:t xml:space="preserve">/</w:t>
            </w:r>
            <w:r>
              <w:t xml:space="preserve"> </w:t>
            </w:r>
            <w:r>
              <w:rPr>
                <w:i/>
                <w:iCs/>
              </w:rPr>
              <w:t xml:space="preserve">POWeRful Proposal Writing</w:t>
            </w:r>
            <w:r>
              <w:t xml:space="preserve"> </w:t>
            </w:r>
            <w:r>
              <w:t xml:space="preserve">/</w:t>
            </w:r>
            <w:r>
              <w:t xml:space="preserve"> </w:t>
            </w:r>
            <w:r>
              <w:rPr>
                <w:i/>
                <w:iCs/>
              </w:rPr>
              <w:t xml:space="preserve">Managing Strategic Proposals</w:t>
            </w:r>
          </w:p>
        </w:tc>
        <w:tc>
          <w:tcPr/>
          <w:p>
            <w:pPr>
              <w:pStyle w:val="Compact"/>
              <w:jc w:val="left"/>
            </w:pPr>
            <w:r>
              <w:t xml:space="preserve">Built into the course (workshop participation + coursework review by a facilitator); badge via Credly</w:t>
            </w:r>
          </w:p>
        </w:tc>
      </w:tr>
      <w:tr>
        <w:tc>
          <w:tcPr/>
          <w:p>
            <w:pPr>
              <w:pStyle w:val="Compact"/>
              <w:jc w:val="left"/>
            </w:pPr>
            <w:r>
              <w:rPr>
                <w:b/>
                <w:bCs/>
              </w:rPr>
              <w:t xml:space="preserve">Two Star /</w:t>
            </w:r>
            <w:r>
              <w:rPr>
                <w:b/>
                <w:bCs/>
              </w:rPr>
              <w:t xml:space="preserve"> </w:t>
            </w:r>
            <w:r>
              <w:rPr>
                <w:b/>
                <w:bCs/>
              </w:rPr>
              <w:t xml:space="preserve">“</w:t>
            </w:r>
            <w:r>
              <w:rPr>
                <w:b/>
                <w:bCs/>
              </w:rPr>
              <w:t xml:space="preserve">Shipley Master</w:t>
            </w:r>
            <w:r>
              <w:rPr>
                <w:b/>
                <w:bCs/>
              </w:rPr>
              <w:t xml:space="preserve">”</w:t>
            </w:r>
          </w:p>
        </w:tc>
        <w:tc>
          <w:tcPr/>
          <w:p>
            <w:pPr>
              <w:pStyle w:val="Compact"/>
              <w:jc w:val="left"/>
            </w:pPr>
            <w:r>
              <w:t xml:space="preserve">One Star + assessed portfolio of real work</w:t>
            </w:r>
          </w:p>
        </w:tc>
        <w:tc>
          <w:tcPr/>
          <w:p>
            <w:pPr>
              <w:pStyle w:val="Compact"/>
              <w:jc w:val="left"/>
            </w:pPr>
            <w:r>
              <w:t xml:space="preserve">Portfolio reviewed by Shipley assessors (~AU$500)</w:t>
            </w:r>
          </w:p>
        </w:tc>
      </w:tr>
      <w:tr>
        <w:tc>
          <w:tcPr/>
          <w:p>
            <w:pPr>
              <w:pStyle w:val="Compact"/>
              <w:jc w:val="left"/>
            </w:pPr>
            <w:r>
              <w:rPr>
                <w:b/>
                <w:bCs/>
              </w:rPr>
              <w:t xml:space="preserve">Three Star</w:t>
            </w:r>
          </w:p>
        </w:tc>
        <w:tc>
          <w:tcPr/>
          <w:p>
            <w:pPr>
              <w:pStyle w:val="Compact"/>
              <w:jc w:val="left"/>
            </w:pPr>
            <w:r>
              <w:t xml:space="preserve">Two Star + Capability &amp; Impact Statement</w:t>
            </w:r>
          </w:p>
        </w:tc>
        <w:tc>
          <w:tcPr/>
          <w:p>
            <w:pPr>
              <w:pStyle w:val="Compact"/>
              <w:jc w:val="left"/>
            </w:pPr>
            <w:r>
              <w:t xml:space="preserve">(~AU$1000)</w:t>
            </w:r>
          </w:p>
        </w:tc>
      </w:tr>
      <w:tr>
        <w:tc>
          <w:tcPr/>
          <w:p>
            <w:pPr>
              <w:pStyle w:val="Compact"/>
              <w:jc w:val="left"/>
            </w:pPr>
            <w:r>
              <w:rPr>
                <w:b/>
                <w:bCs/>
              </w:rPr>
              <w:t xml:space="preserve">Shipley Certification</w:t>
            </w:r>
            <w:r>
              <w:t xml:space="preserve"> </w:t>
            </w:r>
            <w:r>
              <w:t xml:space="preserve">(US site wording)</w:t>
            </w:r>
          </w:p>
        </w:tc>
        <w:tc>
          <w:tcPr/>
          <w:p>
            <w:pPr>
              <w:pStyle w:val="Compact"/>
              <w:jc w:val="left"/>
            </w:pPr>
            <w:r>
              <w:rPr>
                <w:b/>
                <w:bCs/>
              </w:rPr>
              <w:t xml:space="preserve">6 core units + 4 elective units</w:t>
            </w:r>
            <w:r>
              <w:t xml:space="preserve"> </w:t>
            </w:r>
            <w:r>
              <w:t xml:space="preserve">across Capture Planning, Proposal Management, Proposal Writing, plus electives (Pricing to Win, color teams, executive summaries, AI, etc.)</w:t>
            </w:r>
          </w:p>
        </w:tc>
        <w:tc>
          <w:tcPr/>
          <w:p>
            <w:pPr>
              <w:pStyle w:val="Compact"/>
              <w:jc w:val="left"/>
            </w:pPr>
            <w:r>
              <w:t xml:space="preserve">Course-completion based</w:t>
            </w:r>
          </w:p>
        </w:tc>
      </w:tr>
    </w:tbl>
    <w:p>
      <w:pPr>
        <w:pStyle w:val="BodyText"/>
      </w:pPr>
      <w:r>
        <w:rPr>
          <w:b/>
          <w:bCs/>
        </w:rPr>
        <w:t xml:space="preserve">What a curriculum graduate already satisfies.</w:t>
      </w:r>
      <w:r>
        <w:t xml:space="preserve"> </w:t>
      </w:r>
      <w:r>
        <w:t xml:space="preserve">The</w:t>
      </w:r>
      <w:r>
        <w:t xml:space="preserve"> </w:t>
      </w:r>
      <w:r>
        <w:rPr>
          <w:i/>
          <w:iCs/>
        </w:rPr>
        <w:t xml:space="preserve">method</w:t>
      </w:r>
      <w:r>
        <w:t xml:space="preserve">, conceptually: the BD lifecycle (Doctrine 03), the gate ladder (Doctrine 04), win themes/discriminators/ghost themes and color teams (Doctrine 04;</w:t>
      </w:r>
      <w:r>
        <w:t xml:space="preserve"> </w:t>
      </w:r>
      <w:r>
        <w:rPr>
          <w:rStyle w:val="VerbatimChar"/>
        </w:rPr>
        <w:t xml:space="preserve">literacy/how-color-teams-work.md</w:t>
      </w:r>
      <w:r>
        <w:t xml:space="preserve">, merged), the compliance matrix (Doctrine 02), price-to-win (Doctrine 05). The capstone (</w:t>
      </w:r>
      <w:r>
        <w:rPr>
          <w:rStyle w:val="VerbatimChar"/>
        </w:rPr>
        <w:t xml:space="preserve">course/capstone-build-an-orbital.md</w:t>
      </w:r>
      <w:r>
        <w:t xml:space="preserve">) is deliberately the right</w:t>
      </w:r>
      <w:r>
        <w:t xml:space="preserve"> </w:t>
      </w:r>
      <w:r>
        <w:rPr>
          <w:i/>
          <w:iCs/>
        </w:rPr>
        <w:t xml:space="preserve">shape</w:t>
      </w:r>
      <w:r>
        <w:t xml:space="preserve"> </w:t>
      </w:r>
      <w:r>
        <w:t xml:space="preserve">of a Shipley work portfolio — a real solicitation carried through compliance matrix → ORBITAL → score → bid/no-bid.</w:t>
      </w:r>
    </w:p>
    <w:p>
      <w:pPr>
        <w:pStyle w:val="BodyText"/>
      </w:pPr>
      <w:r>
        <w:rPr>
          <w:b/>
          <w:bCs/>
        </w:rPr>
        <w:t xml:space="preserve">Incremental step to earn it.</w:t>
      </w:r>
      <w:r>
        <w:t xml:space="preserve"> </w:t>
      </w:r>
      <w:r>
        <w:t xml:space="preserve">Complete the paid Shipley courses (the One Star assessment is embedded in the course; the US</w:t>
      </w:r>
      <w:r>
        <w:t xml:space="preserve"> </w:t>
      </w:r>
      <w:r>
        <w:t xml:space="preserve">“</w:t>
      </w:r>
      <w:r>
        <w:t xml:space="preserve">certification</w:t>
      </w:r>
      <w:r>
        <w:t xml:space="preserve">”</w:t>
      </w:r>
      <w:r>
        <w:t xml:space="preserve"> </w:t>
      </w:r>
      <w:r>
        <w:t xml:space="preserve">route needs the 6+4 unit bundle, ~$4,995 package). The curriculum cannot substitute for Shipley’s own course delivery, and per the licensing caveat (§0) it must not present its paraphrase as Shipley-endorsed.</w:t>
      </w:r>
    </w:p>
    <w:p>
      <w:pPr>
        <w:pStyle w:val="BodyText"/>
      </w:pPr>
      <w:r>
        <w:rPr>
          <w:b/>
          <w:bCs/>
        </w:rPr>
        <w:t xml:space="preserve">“</w:t>
      </w:r>
      <w:r>
        <w:rPr>
          <w:b/>
          <w:bCs/>
        </w:rPr>
        <w:t xml:space="preserve">SPMBOK</w:t>
      </w:r>
      <w:r>
        <w:rPr>
          <w:b/>
          <w:bCs/>
        </w:rPr>
        <w:t xml:space="preserve">”</w:t>
      </w:r>
      <w:r>
        <w:rPr>
          <w:b/>
          <w:bCs/>
        </w:rPr>
        <w:t xml:space="preserve"> </w:t>
      </w:r>
      <w:r>
        <w:rPr>
          <w:b/>
          <w:bCs/>
        </w:rPr>
        <w:t xml:space="preserve">correction (important).</w:t>
      </w:r>
      <w:r>
        <w:t xml:space="preserve"> </w:t>
      </w:r>
      <w:r>
        <w:t xml:space="preserve">The task named</w:t>
      </w:r>
      <w:r>
        <w:t xml:space="preserve"> </w:t>
      </w:r>
      <w:r>
        <w:rPr>
          <w:b/>
          <w:bCs/>
        </w:rPr>
        <w:t xml:space="preserve">SPMBOK</w:t>
      </w:r>
      <w:r>
        <w:t xml:space="preserve"> </w:t>
      </w:r>
      <w:r>
        <w:t xml:space="preserve">as</w:t>
      </w:r>
      <w:r>
        <w:t xml:space="preserve"> </w:t>
      </w:r>
      <w:r>
        <w:t xml:space="preserve">“</w:t>
      </w:r>
      <w:r>
        <w:t xml:space="preserve">Shipley Proposal Management Body of Knowledge.</w:t>
      </w:r>
      <w:r>
        <w:t xml:space="preserve">”</w:t>
      </w:r>
      <w:r>
        <w:t xml:space="preserve"> </w:t>
      </w:r>
      <w:r>
        <w:t xml:space="preserve">Research shows</w:t>
      </w:r>
      <w:r>
        <w:t xml:space="preserve"> </w:t>
      </w:r>
      <w:r>
        <w:rPr>
          <w:b/>
          <w:bCs/>
        </w:rPr>
        <w:t xml:space="preserve">SPMBOK</w:t>
      </w:r>
      <w:r>
        <w:t xml:space="preserve"> </w:t>
      </w:r>
      <w:r>
        <w:t xml:space="preserve">is the</w:t>
      </w:r>
      <w:r>
        <w:t xml:space="preserve"> </w:t>
      </w:r>
      <w:r>
        <w:rPr>
          <w:b/>
          <w:bCs/>
        </w:rPr>
        <w:t xml:space="preserve">Software Product Management Body of Knowledge</w:t>
      </w:r>
      <w:r>
        <w:t xml:space="preserve"> </w:t>
      </w:r>
      <w:r>
        <w:t xml:space="preserve">(ISPMA) — unrelated to Shipley. Shipley’s reference works are the</w:t>
      </w:r>
      <w:r>
        <w:t xml:space="preserve"> </w:t>
      </w:r>
      <w:r>
        <w:rPr>
          <w:i/>
          <w:iCs/>
        </w:rPr>
        <w:t xml:space="preserve">Proposal Guide</w:t>
      </w:r>
      <w:r>
        <w:t xml:space="preserve"> </w:t>
      </w:r>
      <w:r>
        <w:t xml:space="preserve">and</w:t>
      </w:r>
      <w:r>
        <w:t xml:space="preserve"> </w:t>
      </w:r>
      <w:r>
        <w:rPr>
          <w:i/>
          <w:iCs/>
        </w:rPr>
        <w:t xml:space="preserve">BD Lifecycle Guide</w:t>
      </w:r>
      <w:r>
        <w:t xml:space="preserve">; the profession’s shared body of knowledge is the</w:t>
      </w:r>
      <w:r>
        <w:t xml:space="preserve"> </w:t>
      </w:r>
      <w:r>
        <w:rPr>
          <w:b/>
          <w:bCs/>
        </w:rPr>
        <w:t xml:space="preserve">APMP BOK</w:t>
      </w:r>
      <w:r>
        <w:t xml:space="preserve">. Recommendation: drop</w:t>
      </w:r>
      <w:r>
        <w:t xml:space="preserve"> </w:t>
      </w:r>
      <w:r>
        <w:t xml:space="preserve">“</w:t>
      </w:r>
      <w:r>
        <w:t xml:space="preserve">SPMBOK</w:t>
      </w:r>
      <w:r>
        <w:t xml:space="preserve">”</w:t>
      </w:r>
      <w:r>
        <w:t xml:space="preserve"> </w:t>
      </w:r>
      <w:r>
        <w:t xml:space="preserve">from curriculum vocabulary entirely; use</w:t>
      </w:r>
      <w:r>
        <w:t xml:space="preserve"> </w:t>
      </w:r>
      <w:r>
        <w:t xml:space="preserve">“</w:t>
      </w:r>
      <w:r>
        <w:t xml:space="preserve">Shipley method/guides</w:t>
      </w:r>
      <w:r>
        <w:t xml:space="preserve">”</w:t>
      </w:r>
      <w:r>
        <w:t xml:space="preserve"> </w:t>
      </w:r>
      <w:r>
        <w:t xml:space="preserve">and</w:t>
      </w:r>
      <w:r>
        <w:t xml:space="preserve"> </w:t>
      </w:r>
      <w:r>
        <w:t xml:space="preserve">“</w:t>
      </w:r>
      <w:r>
        <w:t xml:space="preserve">APMP BOK.</w:t>
      </w:r>
      <w:r>
        <w:t xml:space="preserve">”</w:t>
      </w:r>
    </w:p>
    <w:p>
      <w:r>
        <w:pict>
          <v:rect style="width:0;height:1.5pt" o:hralign="center" o:hrstd="t" o:hr="t"/>
        </w:pict>
      </w:r>
    </w:p>
    <w:bookmarkEnd w:id="23"/>
    <w:bookmarkStart w:id="24" w:name="X4552f1f825c0322daaf4f09bd73ea6e5bbcf246"/>
    <w:p>
      <w:pPr>
        <w:pStyle w:val="Heading2"/>
      </w:pPr>
      <w:r>
        <w:t xml:space="preserve">4. NCMA — National Contract Management Association / CPCM</w:t>
      </w:r>
    </w:p>
    <w:p>
      <w:pPr>
        <w:pStyle w:val="FirstParagraph"/>
      </w:pPr>
      <w:r>
        <w:rPr>
          <w:b/>
          <w:bCs/>
        </w:rPr>
        <w:t xml:space="preserve">What it is.</w:t>
      </w:r>
      <w:r>
        <w:t xml:space="preserve"> </w:t>
      </w:r>
      <w:r>
        <w:t xml:space="preserve">The credential body for contract management (the</w:t>
      </w:r>
      <w:r>
        <w:t xml:space="preserve"> </w:t>
      </w:r>
      <w:r>
        <w:rPr>
          <w:i/>
          <w:iCs/>
        </w:rPr>
        <w:t xml:space="preserve">government-facing and buyer-facing</w:t>
      </w:r>
      <w:r>
        <w:t xml:space="preserve"> </w:t>
      </w:r>
      <w:r>
        <w:t xml:space="preserve">discipline, distinct from proposal writing). Four-tier ladder on the</w:t>
      </w:r>
      <w:r>
        <w:t xml:space="preserve"> </w:t>
      </w:r>
      <w:r>
        <w:rPr>
          <w:b/>
          <w:bCs/>
        </w:rPr>
        <w:t xml:space="preserve">Contract Management Body of Knowledge (CMBOK)</w:t>
      </w:r>
      <w:r>
        <w:t xml:space="preserve">, ANSI-aligned.</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Credential</w:t>
            </w:r>
          </w:p>
        </w:tc>
        <w:tc>
          <w:tcPr/>
          <w:p>
            <w:pPr>
              <w:pStyle w:val="Compact"/>
              <w:jc w:val="left"/>
            </w:pPr>
            <w:r>
              <w:t xml:space="preserve">Level</w:t>
            </w:r>
          </w:p>
        </w:tc>
        <w:tc>
          <w:tcPr/>
          <w:p>
            <w:pPr>
              <w:pStyle w:val="Compact"/>
              <w:jc w:val="left"/>
            </w:pPr>
            <w:r>
              <w:t xml:space="preserve">Requirements (verified 2026)</w:t>
            </w:r>
          </w:p>
        </w:tc>
      </w:tr>
      <w:tr>
        <w:tc>
          <w:tcPr/>
          <w:p>
            <w:pPr>
              <w:pStyle w:val="Compact"/>
              <w:jc w:val="left"/>
            </w:pPr>
            <w:r>
              <w:rPr>
                <w:b/>
                <w:bCs/>
              </w:rPr>
              <w:t xml:space="preserve">CCMA</w:t>
            </w:r>
          </w:p>
        </w:tc>
        <w:tc>
          <w:tcPr/>
          <w:p>
            <w:pPr>
              <w:pStyle w:val="Compact"/>
              <w:jc w:val="left"/>
            </w:pPr>
            <w:r>
              <w:t xml:space="preserve">Entry</w:t>
            </w:r>
          </w:p>
        </w:tc>
        <w:tc>
          <w:tcPr/>
          <w:p>
            <w:pPr>
              <w:pStyle w:val="Compact"/>
              <w:jc w:val="left"/>
            </w:pPr>
            <w:r>
              <w:t xml:space="preserve">Bachelor’s</w:t>
            </w:r>
            <w:r>
              <w:t xml:space="preserve"> </w:t>
            </w:r>
            <w:r>
              <w:rPr>
                <w:b/>
                <w:bCs/>
              </w:rPr>
              <w:t xml:space="preserve">or</w:t>
            </w:r>
            <w:r>
              <w:t xml:space="preserve"> </w:t>
            </w:r>
            <w:r>
              <w:t xml:space="preserve">1 yr experience; 40 CPE; exam</w:t>
            </w:r>
          </w:p>
        </w:tc>
      </w:tr>
      <w:tr>
        <w:tc>
          <w:tcPr/>
          <w:p>
            <w:pPr>
              <w:pStyle w:val="Compact"/>
              <w:jc w:val="left"/>
            </w:pPr>
            <w:r>
              <w:rPr>
                <w:b/>
                <w:bCs/>
              </w:rPr>
              <w:t xml:space="preserve">CFCM</w:t>
            </w:r>
          </w:p>
        </w:tc>
        <w:tc>
          <w:tcPr/>
          <w:p>
            <w:pPr>
              <w:pStyle w:val="Compact"/>
              <w:jc w:val="left"/>
            </w:pPr>
            <w:r>
              <w:t xml:space="preserve">Mid, federal</w:t>
            </w:r>
          </w:p>
        </w:tc>
        <w:tc>
          <w:tcPr/>
          <w:p>
            <w:pPr>
              <w:pStyle w:val="Compact"/>
              <w:jc w:val="left"/>
            </w:pPr>
            <w:r>
              <w:t xml:space="preserve">Bachelor’s + 2 yrs contract mgmt; 80 CPE; 150-Q</w:t>
            </w:r>
            <w:r>
              <w:t xml:space="preserve"> </w:t>
            </w:r>
            <w:r>
              <w:rPr>
                <w:b/>
                <w:bCs/>
              </w:rPr>
              <w:t xml:space="preserve">FAR-based</w:t>
            </w:r>
            <w:r>
              <w:t xml:space="preserve"> </w:t>
            </w:r>
            <w:r>
              <w:t xml:space="preserve">exam</w:t>
            </w:r>
          </w:p>
        </w:tc>
      </w:tr>
      <w:tr>
        <w:tc>
          <w:tcPr/>
          <w:p>
            <w:pPr>
              <w:pStyle w:val="Compact"/>
              <w:jc w:val="left"/>
            </w:pPr>
            <w:r>
              <w:rPr>
                <w:b/>
                <w:bCs/>
              </w:rPr>
              <w:t xml:space="preserve">CCCM</w:t>
            </w:r>
          </w:p>
        </w:tc>
        <w:tc>
          <w:tcPr/>
          <w:p>
            <w:pPr>
              <w:pStyle w:val="Compact"/>
              <w:jc w:val="left"/>
            </w:pPr>
            <w:r>
              <w:t xml:space="preserve">Mid, commercial</w:t>
            </w:r>
          </w:p>
        </w:tc>
        <w:tc>
          <w:tcPr/>
          <w:p>
            <w:pPr>
              <w:pStyle w:val="Compact"/>
              <w:jc w:val="left"/>
            </w:pPr>
            <w:r>
              <w:t xml:space="preserve">Bachelor’s + 2 yrs contract mgmt; 80 CPE; UCC-based exam</w:t>
            </w:r>
          </w:p>
        </w:tc>
      </w:tr>
      <w:tr>
        <w:tc>
          <w:tcPr/>
          <w:p>
            <w:pPr>
              <w:pStyle w:val="Compact"/>
              <w:jc w:val="left"/>
            </w:pPr>
            <w:r>
              <w:rPr>
                <w:b/>
                <w:bCs/>
              </w:rPr>
              <w:t xml:space="preserve">CPCM</w:t>
            </w:r>
          </w:p>
        </w:tc>
        <w:tc>
          <w:tcPr/>
          <w:p>
            <w:pPr>
              <w:pStyle w:val="Compact"/>
              <w:jc w:val="left"/>
            </w:pPr>
            <w:r>
              <w:t xml:space="preserve">Senior</w:t>
            </w:r>
          </w:p>
        </w:tc>
        <w:tc>
          <w:tcPr/>
          <w:p>
            <w:pPr>
              <w:pStyle w:val="Compact"/>
              <w:jc w:val="left"/>
            </w:pPr>
            <w:r>
              <w:t xml:space="preserve">Bachelor’s + 5 yrs contract mgmt; 120 CPE; ~179-Q CMBOK exam; recert every 5 yrs (60 hrs)</w:t>
            </w:r>
          </w:p>
        </w:tc>
      </w:tr>
    </w:tbl>
    <w:p>
      <w:pPr>
        <w:pStyle w:val="BodyText"/>
      </w:pPr>
      <w:r>
        <w:rPr>
          <w:b/>
          <w:bCs/>
        </w:rPr>
        <w:t xml:space="preserve">What a curriculum graduate already satisfies.</w:t>
      </w:r>
      <w:r>
        <w:t xml:space="preserve"> </w:t>
      </w:r>
      <w:r>
        <w:t xml:space="preserve">- Doctrine 01 (money flow, identifiers, small-business programs) and Doctrine 04 (FAR/grant policy as the</w:t>
      </w:r>
      <w:r>
        <w:t xml:space="preserve"> </w:t>
      </w:r>
      <w:r>
        <w:rPr>
          <w:i/>
          <w:iCs/>
        </w:rPr>
        <w:t xml:space="preserve">public-side</w:t>
      </w:r>
      <w:r>
        <w:t xml:space="preserve"> </w:t>
      </w:r>
      <w:r>
        <w:t xml:space="preserve">governance) give the</w:t>
      </w:r>
      <w:r>
        <w:t xml:space="preserve"> </w:t>
      </w:r>
      <w:r>
        <w:rPr>
          <w:i/>
          <w:iCs/>
        </w:rPr>
        <w:t xml:space="preserve">environment</w:t>
      </w:r>
      <w:r>
        <w:t xml:space="preserve"> </w:t>
      </w:r>
      <w:r>
        <w:t xml:space="preserve">the CFCM/CPCM pre-award competencies assume.</w:t>
      </w:r>
      <w:r>
        <w:t xml:space="preserve"> </w:t>
      </w:r>
      <w:r>
        <w:t xml:space="preserve">- The NOFO/RFP reading skills (Doctrine 02; midterm) are the private-side mirror of the contracting officer’s document.</w:t>
      </w:r>
      <w:r>
        <w:t xml:space="preserve"> </w:t>
      </w:r>
      <w:r>
        <w:t xml:space="preserve">-</w:t>
      </w:r>
      <w:r>
        <w:t xml:space="preserve"> </w:t>
      </w:r>
      <w:r>
        <w:rPr>
          <w:rStyle w:val="VerbatimChar"/>
        </w:rPr>
        <w:t xml:space="preserve">modules/mpa.md</w:t>
      </w:r>
      <w:r>
        <w:t xml:space="preserve"> </w:t>
      </w:r>
      <w:r>
        <w:t xml:space="preserve">(the public side: FAR/grants framework, oversight) is the closest track to NCMA territory.</w:t>
      </w:r>
    </w:p>
    <w:p>
      <w:pPr>
        <w:pStyle w:val="BodyText"/>
      </w:pPr>
      <w:r>
        <w:rPr>
          <w:b/>
          <w:bCs/>
        </w:rPr>
        <w:t xml:space="preserve">Incremental step to earn it.</w:t>
      </w:r>
      <w:r>
        <w:t xml:space="preserve"> </w:t>
      </w:r>
      <w:r>
        <w:t xml:space="preserve">1.</w:t>
      </w:r>
      <w:r>
        <w:t xml:space="preserve"> </w:t>
      </w:r>
      <w:r>
        <w:rPr>
          <w:b/>
          <w:bCs/>
        </w:rPr>
        <w:t xml:space="preserve">CFCM:</w:t>
      </w:r>
      <w:r>
        <w:t xml:space="preserve"> </w:t>
      </w:r>
      <w:r>
        <w:t xml:space="preserve">the FAR is the exam. The curriculum teaches FAR</w:t>
      </w:r>
      <w:r>
        <w:t xml:space="preserve"> </w:t>
      </w:r>
      <w:r>
        <w:rPr>
          <w:i/>
          <w:iCs/>
        </w:rPr>
        <w:t xml:space="preserve">as governance</w:t>
      </w:r>
      <w:r>
        <w:t xml:space="preserve">, not FAR</w:t>
      </w:r>
      <w:r>
        <w:t xml:space="preserve"> </w:t>
      </w:r>
      <w:r>
        <w:rPr>
          <w:i/>
          <w:iCs/>
        </w:rPr>
        <w:t xml:space="preserve">as a rulebook</w:t>
      </w:r>
      <w:r>
        <w:t xml:space="preserve"> </w:t>
      </w:r>
      <w:r>
        <w:t xml:space="preserve">— a candidate needs FAR Parts 12/15 depth (and a textbook or DAU-equivalent) beyond the curriculum.</w:t>
      </w:r>
      <w:r>
        <w:t xml:space="preserve"> </w:t>
      </w:r>
      <w:r>
        <w:t xml:space="preserve">2.</w:t>
      </w:r>
      <w:r>
        <w:t xml:space="preserve"> </w:t>
      </w:r>
      <w:r>
        <w:rPr>
          <w:b/>
          <w:bCs/>
        </w:rPr>
        <w:t xml:space="preserve">CPCM:</w:t>
      </w:r>
      <w:r>
        <w:t xml:space="preserve"> </w:t>
      </w:r>
      <w:r>
        <w:t xml:space="preserve">additionally needs</w:t>
      </w:r>
      <w:r>
        <w:t xml:space="preserve"> </w:t>
      </w:r>
      <w:r>
        <w:rPr>
          <w:b/>
          <w:bCs/>
        </w:rPr>
        <w:t xml:space="preserve">post-award contract administration</w:t>
      </w:r>
      <w:r>
        <w:t xml:space="preserve"> </w:t>
      </w:r>
      <w:r>
        <w:t xml:space="preserve">(performance monitoring, modifications, terminations, closeout) — currently only sketched in Doctrine 07’s</w:t>
      </w:r>
      <w:r>
        <w:t xml:space="preserve"> </w:t>
      </w:r>
      <w:r>
        <w:rPr>
          <w:rStyle w:val="VerbatimChar"/>
        </w:rPr>
        <w:t xml:space="preserve">deliver</w:t>
      </w:r>
      <w:r>
        <w:t xml:space="preserve"> </w:t>
      </w:r>
      <w:r>
        <w:t xml:space="preserve">stage and the MBA flywheel.</w:t>
      </w:r>
      <w:r>
        <w:t xml:space="preserve"> </w:t>
      </w:r>
      <w:r>
        <w:t xml:space="preserve">3. Experience years + CPE accumulation + the body’s exam via Kryterion.</w:t>
      </w:r>
    </w:p>
    <w:p>
      <w:pPr>
        <w:pStyle w:val="BodyText"/>
      </w:pPr>
      <w:r>
        <w:rPr>
          <w:b/>
          <w:bCs/>
        </w:rPr>
        <w:t xml:space="preserve">Gap the curriculum could close (optional, if NCMA alignment becomes a goal):</w:t>
      </w:r>
      <w:r>
        <w:t xml:space="preserve"> </w:t>
      </w:r>
      <w:r>
        <w:t xml:space="preserve">a literacy page on the contracting lifecycle</w:t>
      </w:r>
      <w:r>
        <w:t xml:space="preserve"> </w:t>
      </w:r>
      <w:r>
        <w:rPr>
          <w:i/>
          <w:iCs/>
        </w:rPr>
        <w:t xml:space="preserve">post-award</w:t>
      </w:r>
      <w:r>
        <w:t xml:space="preserve"> </w:t>
      </w:r>
      <w:r>
        <w:t xml:space="preserve">(admin, modifications, closeout) and a FAR-parts map — but note the curriculum is concept-first and deliberately private-side (pursuit-side); NCMA is fundamentally a buyer-side credential.</w:t>
      </w:r>
    </w:p>
    <w:p>
      <w:r>
        <w:pict>
          <v:rect style="width:0;height:1.5pt" o:hralign="center" o:hrstd="t" o:hr="t"/>
        </w:pict>
      </w:r>
    </w:p>
    <w:bookmarkEnd w:id="24"/>
    <w:bookmarkStart w:id="25" w:name="X49027a492268d49d3e2319d1455d12608541b13"/>
    <w:p>
      <w:pPr>
        <w:pStyle w:val="Heading2"/>
      </w:pPr>
      <w:r>
        <w:t xml:space="preserve">5. DAU / DAWIA and FAC-C — government acquisition workforce certifications</w:t>
      </w:r>
    </w:p>
    <w:p>
      <w:pPr>
        <w:pStyle w:val="FirstParagraph"/>
      </w:pPr>
      <w:r>
        <w:rPr>
          <w:b/>
          <w:bCs/>
        </w:rPr>
        <w:t xml:space="preserve">What they are.</w:t>
      </w:r>
      <w:r>
        <w:t xml:space="preserve"> </w:t>
      </w:r>
      <w:r>
        <w:t xml:space="preserve">Certifications for the</w:t>
      </w:r>
      <w:r>
        <w:t xml:space="preserve"> </w:t>
      </w:r>
      <w:r>
        <w:rPr>
          <w:i/>
          <w:iCs/>
        </w:rPr>
        <w:t xml:space="preserve">government-side</w:t>
      </w:r>
      <w:r>
        <w:t xml:space="preserve"> </w:t>
      </w:r>
      <w:r>
        <w:t xml:space="preserve">acquisition workforce, not for industry BD/proposal practitioners. Two parallel systems:</w:t>
      </w:r>
    </w:p>
    <w:p>
      <w:pPr>
        <w:pStyle w:val="Compact"/>
        <w:numPr>
          <w:ilvl w:val="0"/>
          <w:numId w:val="1003"/>
        </w:numPr>
      </w:pPr>
      <w:r>
        <w:rPr>
          <w:b/>
          <w:bCs/>
        </w:rPr>
        <w:t xml:space="preserve">FAC-C (Federal Acquisition Certification in Contracting)</w:t>
      </w:r>
      <w:r>
        <w:t xml:space="preserve"> </w:t>
      </w:r>
      <w:r>
        <w:t xml:space="preserve">— for civilian agencies (FAI). Current</w:t>
      </w:r>
      <w:r>
        <w:t xml:space="preserve"> </w:t>
      </w:r>
      <w:r>
        <w:rPr>
          <w:b/>
          <w:bCs/>
        </w:rPr>
        <w:t xml:space="preserve">FAC-C (Professional)</w:t>
      </w:r>
      <w:r>
        <w:t xml:space="preserve"> </w:t>
      </w:r>
      <w:r>
        <w:t xml:space="preserve">= CON 1100 (Contract Foundational Skills), CON 1200 (Pre-Award), CON 1300 (Award), CON 1400 (Post-Award) + 1 yr experience.</w:t>
      </w:r>
    </w:p>
    <w:p>
      <w:pPr>
        <w:pStyle w:val="Compact"/>
        <w:numPr>
          <w:ilvl w:val="0"/>
          <w:numId w:val="1003"/>
        </w:numPr>
      </w:pPr>
      <w:r>
        <w:rPr>
          <w:b/>
          <w:bCs/>
        </w:rPr>
        <w:t xml:space="preserve">DAWIA (Defense Acquisition Workforce Improvement Act)</w:t>
      </w:r>
      <w:r>
        <w:t xml:space="preserve"> </w:t>
      </w:r>
      <w:r>
        <w:t xml:space="preserve">— for DoD, administered by</w:t>
      </w:r>
      <w:r>
        <w:t xml:space="preserve"> </w:t>
      </w:r>
      <w:r>
        <w:rPr>
          <w:b/>
          <w:bCs/>
        </w:rPr>
        <w:t xml:space="preserve">DAU</w:t>
      </w:r>
      <w:r>
        <w:t xml:space="preserve">. Under the 2022</w:t>
      </w:r>
      <w:r>
        <w:t xml:space="preserve"> </w:t>
      </w:r>
      <w:r>
        <w:t xml:space="preserve">“</w:t>
      </w:r>
      <w:r>
        <w:t xml:space="preserve">Back-to-Basics</w:t>
      </w:r>
      <w:r>
        <w:t xml:space="preserve">”</w:t>
      </w:r>
      <w:r>
        <w:t xml:space="preserve"> </w:t>
      </w:r>
      <w:r>
        <w:t xml:space="preserve">modernization, seven functional areas with tiered certs: Contracting (single</w:t>
      </w:r>
      <w:r>
        <w:t xml:space="preserve"> </w:t>
      </w:r>
      <w:r>
        <w:t xml:space="preserve">“</w:t>
      </w:r>
      <w:r>
        <w:t xml:space="preserve">Professional</w:t>
      </w:r>
      <w:r>
        <w:t xml:space="preserve">”</w:t>
      </w:r>
      <w:r>
        <w:t xml:space="preserve"> </w:t>
      </w:r>
      <w:r>
        <w:t xml:space="preserve">tier: CON 1100–1400V + CON 3900V exam), Business Cost Estimating (Practitioner/Advanced), Business Financial Management (Practitioner/Advanced), Program Management (Practitioner/Advanced), etc. 80 hrs continuous learning per 2 yrs.</w:t>
      </w:r>
    </w:p>
    <w:p>
      <w:pPr>
        <w:pStyle w:val="FirstParagraph"/>
      </w:pPr>
      <w:r>
        <w:rPr>
          <w:b/>
          <w:bCs/>
        </w:rPr>
        <w:t xml:space="preserve">What a curriculum graduate already satisfies.</w:t>
      </w:r>
      <w:r>
        <w:t xml:space="preserve"> </w:t>
      </w:r>
      <w:r>
        <w:t xml:space="preserve">Doctrine 01 (appropriations, money flow), Doctrine 02 (solicitations), Doctrine 04 (FAR as enforceable governance) are the</w:t>
      </w:r>
      <w:r>
        <w:t xml:space="preserve"> </w:t>
      </w:r>
      <w:r>
        <w:rPr>
          <w:i/>
          <w:iCs/>
        </w:rPr>
        <w:t xml:space="preserve">conceptual context</w:t>
      </w:r>
      <w:r>
        <w:t xml:space="preserve"> </w:t>
      </w:r>
      <w:r>
        <w:t xml:space="preserve">these courses formalize. MBA-2 (price-to-win) and MBA-3 (ORBITAL as business plan) touch the business-cost-estimating / FM competencies at concept level.</w:t>
      </w:r>
    </w:p>
    <w:p>
      <w:pPr>
        <w:pStyle w:val="BodyText"/>
      </w:pPr>
      <w:r>
        <w:rPr>
          <w:b/>
          <w:bCs/>
        </w:rPr>
        <w:t xml:space="preserve">Incremental step to earn it.</w:t>
      </w:r>
      <w:r>
        <w:t xml:space="preserve"> </w:t>
      </w:r>
      <w:r>
        <w:t xml:space="preserve">Not an industry path: requires a government contracting/program role, the CON/ACQ course sequence (DAU-equivalents available via Graduate School USA, Management Concepts, etc.), and experience. The curriculum should treat these as</w:t>
      </w:r>
      <w:r>
        <w:t xml:space="preserve"> </w:t>
      </w:r>
      <w:r>
        <w:rPr>
          <w:b/>
          <w:bCs/>
        </w:rPr>
        <w:t xml:space="preserve">contextual reference</w:t>
      </w:r>
      <w:r>
        <w:t xml:space="preserve"> </w:t>
      </w:r>
      <w:r>
        <w:t xml:space="preserve">(so graduates understand the buyer’s certification) rather than a prep target.</w:t>
      </w:r>
    </w:p>
    <w:p>
      <w:r>
        <w:pict>
          <v:rect style="width:0;height:1.5pt" o:hralign="center" o:hrstd="t" o:hr="t"/>
        </w:pict>
      </w:r>
    </w:p>
    <w:bookmarkEnd w:id="25"/>
    <w:bookmarkStart w:id="26" w:name="pmp-pmi-project-management"/>
    <w:p>
      <w:pPr>
        <w:pStyle w:val="Heading2"/>
      </w:pPr>
      <w:r>
        <w:t xml:space="preserve">6. PMP / PMI — project management</w:t>
      </w:r>
    </w:p>
    <w:p>
      <w:pPr>
        <w:pStyle w:val="FirstParagraph"/>
      </w:pPr>
      <w:r>
        <w:rPr>
          <w:b/>
          <w:bCs/>
        </w:rPr>
        <w:t xml:space="preserve">What it is.</w:t>
      </w:r>
      <w:r>
        <w:t xml:space="preserve"> </w:t>
      </w:r>
      <w:r>
        <w:t xml:space="preserve">PMI’s Project Management Professional (PMP) is the gold-standard</w:t>
      </w:r>
      <w:r>
        <w:t xml:space="preserve"> </w:t>
      </w:r>
      <w:r>
        <w:rPr>
          <w:i/>
          <w:iCs/>
        </w:rPr>
        <w:t xml:space="preserve">project-management</w:t>
      </w:r>
      <w:r>
        <w:t xml:space="preserve"> </w:t>
      </w:r>
      <w:r>
        <w:t xml:space="preserve">credential — scope/schedule/cost/risk/EVM — frequently listed as preferred for capture managers and as a key-personnel requirement on federal contracts. Related PMI credentials:</w:t>
      </w:r>
      <w:r>
        <w:t xml:space="preserve"> </w:t>
      </w:r>
      <w:r>
        <w:rPr>
          <w:b/>
          <w:bCs/>
        </w:rPr>
        <w:t xml:space="preserve">CAPM</w:t>
      </w:r>
      <w:r>
        <w:t xml:space="preserve"> </w:t>
      </w:r>
      <w:r>
        <w:t xml:space="preserve">(entry),</w:t>
      </w:r>
      <w:r>
        <w:t xml:space="preserve"> </w:t>
      </w:r>
      <w:r>
        <w:rPr>
          <w:b/>
          <w:bCs/>
        </w:rPr>
        <w:t xml:space="preserve">PgMP</w:t>
      </w:r>
      <w:r>
        <w:t xml:space="preserve"> </w:t>
      </w:r>
      <w:r>
        <w:t xml:space="preserve">(program),</w:t>
      </w:r>
      <w:r>
        <w:t xml:space="preserve"> </w:t>
      </w:r>
      <w:r>
        <w:rPr>
          <w:b/>
          <w:bCs/>
        </w:rPr>
        <w:t xml:space="preserve">PMI-ACP</w:t>
      </w:r>
      <w:r>
        <w:t xml:space="preserve"> </w:t>
      </w:r>
      <w:r>
        <w:t xml:space="preserve">(agile).</w:t>
      </w:r>
    </w:p>
    <w:p>
      <w:pPr>
        <w:pStyle w:val="BodyText"/>
      </w:pPr>
      <w:r>
        <w:rPr>
          <w:b/>
          <w:bCs/>
        </w:rPr>
        <w:t xml:space="preserve">What a curriculum graduate already satisfies.</w:t>
      </w:r>
      <w:r>
        <w:t xml:space="preserve"> </w:t>
      </w:r>
      <w:r>
        <w:t xml:space="preserve">The</w:t>
      </w:r>
      <w:r>
        <w:t xml:space="preserve"> </w:t>
      </w:r>
      <w:r>
        <w:rPr>
          <w:i/>
          <w:iCs/>
        </w:rPr>
        <w:t xml:space="preserve">portfolio/business edge</w:t>
      </w:r>
      <w:r>
        <w:t xml:space="preserve">: MBA-2 (price-to-win, competitive range), MBA-6 (portfolio construction, board pitch), SI-2 (pipeline as portfolio), SI-6 (leader’s dashboard). FAC-P/PM (government program-management cert) has a formal reciprocity with PMI (a PMP waives some FPM coursework) — a useful footnote for MPA/graduate-track students who go government-side.</w:t>
      </w:r>
    </w:p>
    <w:p>
      <w:pPr>
        <w:pStyle w:val="BodyText"/>
      </w:pPr>
      <w:r>
        <w:rPr>
          <w:b/>
          <w:bCs/>
        </w:rPr>
        <w:t xml:space="preserve">Incremental step to earn it.</w:t>
      </w:r>
      <w:r>
        <w:t xml:space="preserve"> </w:t>
      </w:r>
      <w:r>
        <w:t xml:space="preserve">PMP is a</w:t>
      </w:r>
      <w:r>
        <w:t xml:space="preserve"> </w:t>
      </w:r>
      <w:r>
        <w:rPr>
          <w:b/>
          <w:bCs/>
        </w:rPr>
        <w:t xml:space="preserve">different body of knowledge</w:t>
      </w:r>
      <w:r>
        <w:t xml:space="preserve"> </w:t>
      </w:r>
      <w:r>
        <w:t xml:space="preserve">(PMBOK). The curriculum teaches the pursuit pipeline, not project-delivery discipline (WBS, scheduling, EVM, risk registers). A candidate needs PMI’s 35-hr training + 36–60 months of project experience + the 180-Q exam + 60 PDUs/3 yrs. CAPM is the accessible entry analog for students.</w:t>
      </w:r>
    </w:p>
    <w:p>
      <w:pPr>
        <w:pStyle w:val="BodyText"/>
      </w:pPr>
      <w:r>
        <w:rPr>
          <w:b/>
          <w:bCs/>
        </w:rPr>
        <w:t xml:space="preserve">Recommendation:</w:t>
      </w:r>
      <w:r>
        <w:t xml:space="preserve"> </w:t>
      </w:r>
      <w:r>
        <w:t xml:space="preserve">cite PMP as a</w:t>
      </w:r>
      <w:r>
        <w:t xml:space="preserve"> </w:t>
      </w:r>
      <w:r>
        <w:rPr>
          <w:i/>
          <w:iCs/>
        </w:rPr>
        <w:t xml:space="preserve">complementary</w:t>
      </w:r>
      <w:r>
        <w:t xml:space="preserve"> </w:t>
      </w:r>
      <w:r>
        <w:t xml:space="preserve">career credential for the</w:t>
      </w:r>
      <w:r>
        <w:t xml:space="preserve"> </w:t>
      </w:r>
      <w:r>
        <w:t xml:space="preserve">“</w:t>
      </w:r>
      <w:r>
        <w:t xml:space="preserve">deliver</w:t>
      </w:r>
      <w:r>
        <w:t xml:space="preserve">”</w:t>
      </w:r>
      <w:r>
        <w:t xml:space="preserve"> </w:t>
      </w:r>
      <w:r>
        <w:t xml:space="preserve">end of the pipeline (Doctrine 07), not as a curriculum-aligned target.</w:t>
      </w:r>
    </w:p>
    <w:p>
      <w:r>
        <w:pict>
          <v:rect style="width:0;height:1.5pt" o:hralign="center" o:hrstd="t" o:hr="t"/>
        </w:pict>
      </w:r>
    </w:p>
    <w:bookmarkEnd w:id="26"/>
    <w:bookmarkStart w:id="27" w:name="X849c8c75628abcc115c15db54c0336946e6bb10"/>
    <w:p>
      <w:pPr>
        <w:pStyle w:val="Heading2"/>
      </w:pPr>
      <w:r>
        <w:t xml:space="preserve">7. SMPS CPSM — professional services marketing/BD (A/E/C)</w:t>
      </w:r>
    </w:p>
    <w:p>
      <w:pPr>
        <w:pStyle w:val="FirstParagraph"/>
      </w:pPr>
      <w:r>
        <w:t xml:space="preserve">The</w:t>
      </w:r>
      <w:r>
        <w:t xml:space="preserve"> </w:t>
      </w:r>
      <w:r>
        <w:rPr>
          <w:b/>
          <w:bCs/>
        </w:rPr>
        <w:t xml:space="preserve">Certified Professional Services Marketer</w:t>
      </w:r>
      <w:r>
        <w:t xml:space="preserve"> </w:t>
      </w:r>
      <w:r>
        <w:t xml:space="preserve">(Society for Marketing Professional Services) requires a Bachelor’s + 4 yrs professional-services marketing/BD (degreeless: 8 yrs), a 150-Q exam across six domains (marketing research, marketing planning, client/BD, proposals, promotion, firm management), 74% pass, twice-yearly windows (~$520–765). Overlap with the curriculum: proposals domain, client/BD domain, MBA-4 certifications-as-go-to-market, MBA-6 board pitch. But SMPS is A/E/C-flavored and marketing-centric, whereas the curriculum is federal-capture-centric.</w:t>
      </w:r>
      <w:r>
        <w:t xml:space="preserve"> </w:t>
      </w:r>
      <w:r>
        <w:rPr>
          <w:b/>
          <w:bCs/>
        </w:rPr>
        <w:t xml:space="preserve">Small overlap; cite as a lateral option for students who go into professional-services firms.</w:t>
      </w:r>
    </w:p>
    <w:p>
      <w:r>
        <w:pict>
          <v:rect style="width:0;height:1.5pt" o:hralign="center" o:hrstd="t" o:hr="t"/>
        </w:pict>
      </w:r>
    </w:p>
    <w:bookmarkEnd w:id="27"/>
    <w:bookmarkStart w:id="28" w:name="X345c7af4989d5ab8a7c12879b5bc4e016863d07"/>
    <w:p>
      <w:pPr>
        <w:pStyle w:val="Heading2"/>
      </w:pPr>
      <w:r>
        <w:t xml:space="preserve">8. AAPTP and ACP-WI — unverified names (do not cite without confirmation)</w:t>
      </w:r>
    </w:p>
    <w:p>
      <w:pPr>
        <w:pStyle w:val="FirstParagraph"/>
      </w:pPr>
      <w:r>
        <w:t xml:space="preserve">These two were named in the task.</w:t>
      </w:r>
      <w:r>
        <w:t xml:space="preserve"> </w:t>
      </w:r>
      <w:r>
        <w:rPr>
          <w:b/>
          <w:bCs/>
        </w:rPr>
        <w:t xml:space="preserve">Rigorous web research (2026-08) could not locate a credential by either name from any issuing body:</w:t>
      </w:r>
    </w:p>
    <w:p>
      <w:pPr>
        <w:pStyle w:val="Compact"/>
        <w:numPr>
          <w:ilvl w:val="0"/>
          <w:numId w:val="1004"/>
        </w:numPr>
      </w:pPr>
      <w:r>
        <w:rPr>
          <w:b/>
          <w:bCs/>
        </w:rPr>
        <w:t xml:space="preserve">AAPTP</w:t>
      </w:r>
      <w:r>
        <w:t xml:space="preserve"> </w:t>
      </w:r>
      <w:r>
        <w:t xml:space="preserve">— returns only unrelated hits (Airfield Asphalt Pavement Technology Program; Chinese training associations). Closest</w:t>
      </w:r>
      <w:r>
        <w:t xml:space="preserve"> </w:t>
      </w:r>
      <w:r>
        <w:rPr>
          <w:i/>
          <w:iCs/>
        </w:rPr>
        <w:t xml:space="preserve">plausible</w:t>
      </w:r>
      <w:r>
        <w:t xml:space="preserve"> </w:t>
      </w:r>
      <w:r>
        <w:t xml:space="preserve">intents:</w:t>
      </w:r>
      <w:r>
        <w:t xml:space="preserve"> </w:t>
      </w:r>
      <w:r>
        <w:rPr>
          <w:b/>
          <w:bCs/>
        </w:rPr>
        <w:t xml:space="preserve">APTAC</w:t>
      </w:r>
      <w:r>
        <w:t xml:space="preserve"> </w:t>
      </w:r>
      <w:r>
        <w:t xml:space="preserve">(Association of Procurement Technical Assistance Centers — trains the</w:t>
      </w:r>
      <w:r>
        <w:t xml:space="preserve"> </w:t>
      </w:r>
      <w:r>
        <w:rPr>
          <w:i/>
          <w:iCs/>
        </w:rPr>
        <w:t xml:space="preserve">business</w:t>
      </w:r>
      <w:r>
        <w:t xml:space="preserve"> </w:t>
      </w:r>
      <w:r>
        <w:t xml:space="preserve">side via PTACs, but issues no individual credential), or a government acquisition-academy program (e.g., VA Acquisition Academy).</w:t>
      </w:r>
      <w:r>
        <w:t xml:space="preserve"> </w:t>
      </w:r>
      <w:r>
        <w:rPr>
          <w:b/>
          <w:bCs/>
        </w:rPr>
        <w:t xml:space="preserve">Mark unverified.</w:t>
      </w:r>
    </w:p>
    <w:p>
      <w:pPr>
        <w:pStyle w:val="Compact"/>
        <w:numPr>
          <w:ilvl w:val="0"/>
          <w:numId w:val="1004"/>
        </w:numPr>
      </w:pPr>
      <w:r>
        <w:rPr>
          <w:b/>
          <w:bCs/>
        </w:rPr>
        <w:t xml:space="preserve">ACP-WI</w:t>
      </w:r>
      <w:r>
        <w:t xml:space="preserve"> </w:t>
      </w:r>
      <w:r>
        <w:t xml:space="preserve">— returns only unrelated hits (PMI-ACP agile; Adobe Certified Professional). Plausible readings: a mis-remembered</w:t>
      </w:r>
      <w:r>
        <w:t xml:space="preserve"> </w:t>
      </w:r>
      <w:r>
        <w:rPr>
          <w:b/>
          <w:bCs/>
        </w:rPr>
        <w:t xml:space="preserve">PMI-ACP</w:t>
      </w:r>
      <w:r>
        <w:t xml:space="preserve">, an inversion of</w:t>
      </w:r>
      <w:r>
        <w:t xml:space="preserve"> </w:t>
      </w:r>
      <w:r>
        <w:rPr>
          <w:b/>
          <w:bCs/>
        </w:rPr>
        <w:t xml:space="preserve">CP APMP</w:t>
      </w:r>
      <w:r>
        <w:t xml:space="preserve">, or a local/regional chapter designation.</w:t>
      </w:r>
      <w:r>
        <w:t xml:space="preserve"> </w:t>
      </w:r>
      <w:r>
        <w:rPr>
          <w:b/>
          <w:bCs/>
        </w:rPr>
        <w:t xml:space="preserve">Mark unverified.</w:t>
      </w:r>
    </w:p>
    <w:p>
      <w:pPr>
        <w:pStyle w:val="FirstParagraph"/>
      </w:pPr>
      <w:r>
        <w:rPr>
          <w:b/>
          <w:bCs/>
        </w:rPr>
        <w:t xml:space="preserve">Handling rule for the curriculum:</w:t>
      </w:r>
      <w:r>
        <w:t xml:space="preserve"> </w:t>
      </w:r>
      <w:r>
        <w:t xml:space="preserve">do not name either in teaching material until an issuing body is confirmed. If they were meant as placeholders for APTAC and PMI-ACP, those are real and are covered above.</w:t>
      </w:r>
    </w:p>
    <w:p>
      <w:r>
        <w:pict>
          <v:rect style="width:0;height:1.5pt" o:hralign="center" o:hrstd="t" o:hr="t"/>
        </w:pict>
      </w:r>
    </w:p>
    <w:bookmarkEnd w:id="28"/>
    <w:bookmarkStart w:id="29" w:name="X25cca0da42964e3ec905c7d67e66d3eb71cb59f"/>
    <w:p>
      <w:pPr>
        <w:pStyle w:val="Heading2"/>
      </w:pPr>
      <w:r>
        <w:t xml:space="preserve">9. Named-canon posture — how the curriculum should name and position these bodies</w:t>
      </w:r>
    </w:p>
    <w:p>
      <w:pPr>
        <w:pStyle w:val="FirstParagraph"/>
      </w:pPr>
      <w:r>
        <w:t xml:space="preserve">The curriculum already has a doctrine-level rule that governs this:</w:t>
      </w:r>
      <w:r>
        <w:t xml:space="preserve"> </w:t>
      </w:r>
      <w:r>
        <w:rPr>
          <w:rStyle w:val="VerbatimChar"/>
          <w:b/>
          <w:bCs/>
        </w:rPr>
        <w:t xml:space="preserve">doctrine/08-tools-change-concepts-dont.md</w:t>
      </w:r>
      <w:r>
        <w:t xml:space="preserve"> </w:t>
      </w:r>
      <w:r>
        <w:t xml:space="preserve">— concepts are durable, tools are swappable; the course teaches layer one and only</w:t>
      </w:r>
      <w:r>
        <w:t xml:space="preserve"> </w:t>
      </w:r>
      <w:r>
        <w:rPr>
          <w:i/>
          <w:iCs/>
        </w:rPr>
        <w:t xml:space="preserve">mentions</w:t>
      </w:r>
      <w:r>
        <w:t xml:space="preserve"> </w:t>
      </w:r>
      <w:r>
        <w:t xml:space="preserve">layer two. Certification bodies are neither pure concept nor pure tool:</w:t>
      </w:r>
      <w:r>
        <w:t xml:space="preserve"> </w:t>
      </w:r>
      <w:r>
        <w:rPr>
          <w:b/>
          <w:bCs/>
        </w:rPr>
        <w:t xml:space="preserve">the</w:t>
      </w:r>
      <w:r>
        <w:rPr>
          <w:b/>
          <w:bCs/>
        </w:rPr>
        <w:t xml:space="preserve"> </w:t>
      </w:r>
      <w:r>
        <w:rPr>
          <w:b/>
          <w:bCs/>
          <w:i/>
          <w:iCs/>
        </w:rPr>
        <w:t xml:space="preserve">body of knowledge</w:t>
      </w:r>
      <w:r>
        <w:rPr>
          <w:b/>
          <w:bCs/>
        </w:rPr>
        <w:t xml:space="preserve"> </w:t>
      </w:r>
      <w:r>
        <w:rPr>
          <w:b/>
          <w:bCs/>
        </w:rPr>
        <w:t xml:space="preserve">is near-durable; the</w:t>
      </w:r>
      <w:r>
        <w:rPr>
          <w:b/>
          <w:bCs/>
        </w:rPr>
        <w:t xml:space="preserve"> </w:t>
      </w:r>
      <w:r>
        <w:rPr>
          <w:b/>
          <w:bCs/>
          <w:i/>
          <w:iCs/>
        </w:rPr>
        <w:t xml:space="preserve">credential product</w:t>
      </w:r>
      <w:r>
        <w:rPr>
          <w:b/>
          <w:bCs/>
        </w:rPr>
        <w:t xml:space="preserve"> </w:t>
      </w:r>
      <w:r>
        <w:rPr>
          <w:b/>
          <w:bCs/>
        </w:rPr>
        <w:t xml:space="preserve">(tiers, exam formats, course packages) changes frequently.</w:t>
      </w:r>
      <w:r>
        <w:t xml:space="preserve"> </w:t>
      </w:r>
      <w:r>
        <w:t xml:space="preserve">The posture below follows that split.</w:t>
      </w:r>
    </w:p>
    <w:p>
      <w:pPr>
        <w:pStyle w:val="BodyText"/>
      </w:pPr>
      <w:r>
        <w:rPr>
          <w:b/>
          <w:bCs/>
        </w:rPr>
        <w:t xml:space="preserve">Recommended posture (per doctrine/08 and the existing</w:t>
      </w:r>
      <w:r>
        <w:rPr>
          <w:b/>
          <w:bCs/>
        </w:rPr>
        <w:t xml:space="preserve"> </w:t>
      </w:r>
      <w:r>
        <w:rPr>
          <w:rStyle w:val="VerbatimChar"/>
          <w:b/>
          <w:bCs/>
        </w:rPr>
        <w:t xml:space="preserve">literacy/industry-standard-canon.md</w:t>
      </w:r>
      <w:r>
        <w:rPr>
          <w:b/>
          <w:bCs/>
        </w:rPr>
        <w:t xml:space="preserve">):</w:t>
      </w:r>
    </w:p>
    <w:p>
      <w:pPr>
        <w:numPr>
          <w:ilvl w:val="0"/>
          <w:numId w:val="1005"/>
        </w:numPr>
      </w:pPr>
      <w:r>
        <w:rPr>
          <w:b/>
          <w:bCs/>
        </w:rPr>
        <w:t xml:space="preserve">Name the canon at the literacy layer, never in the doctrine.</w:t>
      </w:r>
      <w:r>
        <w:t xml:space="preserve"> </w:t>
      </w:r>
      <w:r>
        <w:rPr>
          <w:rStyle w:val="VerbatimChar"/>
        </w:rPr>
        <w:t xml:space="preserve">literacy/industry-standard-canon.md</w:t>
      </w:r>
      <w:r>
        <w:t xml:space="preserve"> </w:t>
      </w:r>
      <w:r>
        <w:t xml:space="preserve">already names Shipley, APMP, FAR/DFARS, and the certification landscape as the</w:t>
      </w:r>
      <w:r>
        <w:t xml:space="preserve"> </w:t>
      </w:r>
      <w:r>
        <w:rPr>
          <w:i/>
          <w:iCs/>
        </w:rPr>
        <w:t xml:space="preserve">vocabulary anchor</w:t>
      </w:r>
      <w:r>
        <w:t xml:space="preserve">. This research doc is the source of truth that page condenses. Doctrine chapters should continue to use the</w:t>
      </w:r>
      <w:r>
        <w:t xml:space="preserve"> </w:t>
      </w:r>
      <w:r>
        <w:rPr>
          <w:i/>
          <w:iCs/>
        </w:rPr>
        <w:t xml:space="preserve">concepts</w:t>
      </w:r>
      <w:r>
        <w:t xml:space="preserve"> </w:t>
      </w:r>
      <w:r>
        <w:t xml:space="preserve">(pipeline, gates, color team, compliance matrix) without citing bodies — that is already the case.</w:t>
      </w:r>
    </w:p>
    <w:p>
      <w:pPr>
        <w:numPr>
          <w:ilvl w:val="0"/>
          <w:numId w:val="1005"/>
        </w:numPr>
      </w:pPr>
      <w:r>
        <w:rPr>
          <w:b/>
          <w:bCs/>
        </w:rPr>
        <w:t xml:space="preserve">Treat bodies as</w:t>
      </w:r>
      <w:r>
        <w:rPr>
          <w:b/>
          <w:bCs/>
        </w:rPr>
        <w:t xml:space="preserve"> </w:t>
      </w:r>
      <w:r>
        <w:rPr>
          <w:b/>
          <w:bCs/>
        </w:rPr>
        <w:t xml:space="preserve">“</w:t>
      </w:r>
      <w:r>
        <w:rPr>
          <w:b/>
          <w:bCs/>
        </w:rPr>
        <w:t xml:space="preserve">the profession’s named institutions,</w:t>
      </w:r>
      <w:r>
        <w:rPr>
          <w:b/>
          <w:bCs/>
        </w:rPr>
        <w:t xml:space="preserve">”</w:t>
      </w:r>
      <w:r>
        <w:rPr>
          <w:b/>
          <w:bCs/>
        </w:rPr>
        <w:t xml:space="preserve"> </w:t>
      </w:r>
      <w:r>
        <w:rPr>
          <w:b/>
          <w:bCs/>
        </w:rPr>
        <w:t xml:space="preserve">not as brands to teach or chase.</w:t>
      </w:r>
      <w:r>
        <w:t xml:space="preserve"> </w:t>
      </w:r>
      <w:r>
        <w:t xml:space="preserve">In teaching material, say</w:t>
      </w:r>
      <w:r>
        <w:t xml:space="preserve"> </w:t>
      </w:r>
      <w:r>
        <w:t xml:space="preserve">“</w:t>
      </w:r>
      <w:r>
        <w:t xml:space="preserve">the industry’s professional body (APMP) certifies against its Body of Knowledge</w:t>
      </w:r>
      <w:r>
        <w:t xml:space="preserve">”</w:t>
      </w:r>
      <w:r>
        <w:t xml:space="preserve"> </w:t>
      </w:r>
      <w:r>
        <w:t xml:space="preserve">— never</w:t>
      </w:r>
      <w:r>
        <w:t xml:space="preserve"> </w:t>
      </w:r>
      <w:r>
        <w:t xml:space="preserve">“</w:t>
      </w:r>
      <w:r>
        <w:t xml:space="preserve">get APMP-certified with our course.</w:t>
      </w:r>
      <w:r>
        <w:t xml:space="preserve">”</w:t>
      </w:r>
      <w:r>
        <w:t xml:space="preserve"> </w:t>
      </w:r>
      <w:r>
        <w:t xml:space="preserve">This preserves the stack-agnostic rule (a credential is a</w:t>
      </w:r>
      <w:r>
        <w:t xml:space="preserve"> </w:t>
      </w:r>
      <w:r>
        <w:rPr>
          <w:i/>
          <w:iCs/>
        </w:rPr>
        <w:t xml:space="preserve">product</w:t>
      </w:r>
      <w:r>
        <w:t xml:space="preserve"> </w:t>
      </w:r>
      <w:r>
        <w:t xml:space="preserve">that can change) while honoring the</w:t>
      </w:r>
      <w:r>
        <w:t xml:space="preserve"> </w:t>
      </w:r>
      <w:r>
        <w:rPr>
          <w:i/>
          <w:iCs/>
        </w:rPr>
        <w:t xml:space="preserve">canon</w:t>
      </w:r>
      <w:r>
        <w:t xml:space="preserve"> </w:t>
      </w:r>
      <w:r>
        <w:t xml:space="preserve">(the vocabulary is durable).</w:t>
      </w:r>
    </w:p>
    <w:p>
      <w:pPr>
        <w:numPr>
          <w:ilvl w:val="0"/>
          <w:numId w:val="1005"/>
        </w:numPr>
      </w:pPr>
      <w:r>
        <w:rPr>
          <w:b/>
          <w:bCs/>
        </w:rPr>
        <w:t xml:space="preserve">Distinguish three tiers of naming, so material is honest about what is durable:</w:t>
      </w:r>
    </w:p>
    <w:p>
      <w:pPr>
        <w:pStyle w:val="Compact"/>
        <w:numPr>
          <w:ilvl w:val="1"/>
          <w:numId w:val="1006"/>
        </w:numPr>
      </w:pPr>
      <w:r>
        <w:rPr>
          <w:b/>
          <w:bCs/>
        </w:rPr>
        <w:t xml:space="preserve">Durable canon</w:t>
      </w:r>
      <w:r>
        <w:t xml:space="preserve"> </w:t>
      </w:r>
      <w:r>
        <w:t xml:space="preserve">(safe to name in any layer): the Shipley BD lifecycle, the APMP BOK vocabulary, FAR/DFARS as the law, the seven-gate ladder. These are the</w:t>
      </w:r>
      <w:r>
        <w:t xml:space="preserve"> </w:t>
      </w:r>
      <w:r>
        <w:rPr>
          <w:i/>
          <w:iCs/>
        </w:rPr>
        <w:t xml:space="preserve">concepts’</w:t>
      </w:r>
      <w:r>
        <w:t xml:space="preserve"> </w:t>
      </w:r>
      <w:r>
        <w:t xml:space="preserve">industry names.</w:t>
      </w:r>
    </w:p>
    <w:p>
      <w:pPr>
        <w:pStyle w:val="Compact"/>
        <w:numPr>
          <w:ilvl w:val="1"/>
          <w:numId w:val="1006"/>
        </w:numPr>
      </w:pPr>
      <w:r>
        <w:rPr>
          <w:b/>
          <w:bCs/>
        </w:rPr>
        <w:t xml:space="preserve">Semi-durable</w:t>
      </w:r>
      <w:r>
        <w:t xml:space="preserve"> </w:t>
      </w:r>
      <w:r>
        <w:t xml:space="preserve">(name in literacy only, with a date): certification</w:t>
      </w:r>
      <w:r>
        <w:t xml:space="preserve"> </w:t>
      </w:r>
      <w:r>
        <w:rPr>
          <w:i/>
          <w:iCs/>
        </w:rPr>
        <w:t xml:space="preserve">tiers and requirements</w:t>
      </w:r>
      <w:r>
        <w:t xml:space="preserve"> </w:t>
      </w:r>
      <w:r>
        <w:t xml:space="preserve">(APMP Foundation/Practitioner/Professional; NCMA CFCM/CPCM; FAC-C). These change every few years — cite them with a</w:t>
      </w:r>
      <w:r>
        <w:t xml:space="preserve"> </w:t>
      </w:r>
      <w:r>
        <w:t xml:space="preserve">“</w:t>
      </w:r>
      <w:r>
        <w:t xml:space="preserve">as of</w:t>
      </w:r>
      <w:r>
        <w:t xml:space="preserve">”</w:t>
      </w:r>
      <w:r>
        <w:t xml:space="preserve"> </w:t>
      </w:r>
      <w:r>
        <w:t xml:space="preserve">date, exactly as</w:t>
      </w:r>
      <w:r>
        <w:t xml:space="preserve"> </w:t>
      </w:r>
      <w:r>
        <w:rPr>
          <w:rStyle w:val="VerbatimChar"/>
        </w:rPr>
        <w:t xml:space="preserve">align/concept-to-system-map.md</w:t>
      </w:r>
      <w:r>
        <w:t xml:space="preserve"> </w:t>
      </w:r>
      <w:r>
        <w:t xml:space="preserve">version-pins DNA paths.</w:t>
      </w:r>
    </w:p>
    <w:p>
      <w:pPr>
        <w:pStyle w:val="Compact"/>
        <w:numPr>
          <w:ilvl w:val="1"/>
          <w:numId w:val="1006"/>
        </w:numPr>
      </w:pPr>
      <w:r>
        <w:rPr>
          <w:b/>
          <w:bCs/>
        </w:rPr>
        <w:t xml:space="preserve">Tool-like / swappable</w:t>
      </w:r>
      <w:r>
        <w:t xml:space="preserve"> </w:t>
      </w:r>
      <w:r>
        <w:t xml:space="preserve">(mention only as examples, never tested): specific course packages, exam costs, badge vendors (Credly), regional pricing. These are the</w:t>
      </w:r>
      <w:r>
        <w:t xml:space="preserve"> </w:t>
      </w:r>
      <w:r>
        <w:t xml:space="preserve">“</w:t>
      </w:r>
      <w:r>
        <w:t xml:space="preserve">tools</w:t>
      </w:r>
      <w:r>
        <w:t xml:space="preserve">”</w:t>
      </w:r>
      <w:r>
        <w:t xml:space="preserve"> </w:t>
      </w:r>
      <w:r>
        <w:t xml:space="preserve">of credentialing.</w:t>
      </w:r>
    </w:p>
    <w:p>
      <w:pPr>
        <w:numPr>
          <w:ilvl w:val="0"/>
          <w:numId w:val="1005"/>
        </w:numPr>
      </w:pPr>
      <w:r>
        <w:rPr>
          <w:b/>
          <w:bCs/>
        </w:rPr>
        <w:t xml:space="preserve">Never claim endorsement or official prep.</w:t>
      </w:r>
      <w:r>
        <w:t xml:space="preserve"> </w:t>
      </w:r>
      <w:r>
        <w:t xml:space="preserve">The DNA licensing docs (§0) prohibit claiming Shipley/APMP partnership or certification-prep status. Mirror that in the curriculum: any student-facing statement must say the course teaches the</w:t>
      </w:r>
      <w:r>
        <w:t xml:space="preserve"> </w:t>
      </w:r>
      <w:r>
        <w:rPr>
          <w:i/>
          <w:iCs/>
        </w:rPr>
        <w:t xml:space="preserve">concepts the credential certifies</w:t>
      </w:r>
      <w:r>
        <w:t xml:space="preserve">, and that earning the credential requires the body’s own materials, exam, and verifiable work experience.</w:t>
      </w:r>
    </w:p>
    <w:p>
      <w:pPr>
        <w:numPr>
          <w:ilvl w:val="0"/>
          <w:numId w:val="1005"/>
        </w:numPr>
      </w:pPr>
      <w:r>
        <w:rPr>
          <w:b/>
          <w:bCs/>
        </w:rPr>
        <w:t xml:space="preserve">Position the credential ladder as a</w:t>
      </w:r>
      <w:r>
        <w:rPr>
          <w:b/>
          <w:bCs/>
        </w:rPr>
        <w:t xml:space="preserve"> </w:t>
      </w:r>
      <w:r>
        <w:rPr>
          <w:b/>
          <w:bCs/>
        </w:rPr>
        <w:t xml:space="preserve">“</w:t>
      </w:r>
      <w:r>
        <w:rPr>
          <w:b/>
          <w:bCs/>
        </w:rPr>
        <w:t xml:space="preserve">career map,</w:t>
      </w:r>
      <w:r>
        <w:rPr>
          <w:b/>
          <w:bCs/>
        </w:rPr>
        <w:t xml:space="preserve">”</w:t>
      </w:r>
      <w:r>
        <w:rPr>
          <w:b/>
          <w:bCs/>
        </w:rPr>
        <w:t xml:space="preserve"> </w:t>
      </w:r>
      <w:r>
        <w:rPr>
          <w:b/>
          <w:bCs/>
        </w:rPr>
        <w:t xml:space="preserve">not a syllabus.</w:t>
      </w:r>
      <w:r>
        <w:t xml:space="preserve"> </w:t>
      </w:r>
      <w:r>
        <w:t xml:space="preserve">A suggested single literacy artifact: a</w:t>
      </w:r>
      <w:r>
        <w:t xml:space="preserve"> </w:t>
      </w:r>
      <w:r>
        <w:rPr>
          <w:b/>
          <w:bCs/>
        </w:rPr>
        <w:t xml:space="preserve">“</w:t>
      </w:r>
      <w:r>
        <w:rPr>
          <w:b/>
          <w:bCs/>
        </w:rPr>
        <w:t xml:space="preserve">credential ladder</w:t>
      </w:r>
      <w:r>
        <w:rPr>
          <w:b/>
          <w:bCs/>
        </w:rPr>
        <w:t xml:space="preserve">”</w:t>
      </w:r>
      <w:r>
        <w:rPr>
          <w:b/>
          <w:bCs/>
        </w:rPr>
        <w:t xml:space="preserve"> </w:t>
      </w:r>
      <w:r>
        <w:rPr>
          <w:b/>
          <w:bCs/>
        </w:rPr>
        <w:t xml:space="preserve">page</w:t>
      </w:r>
      <w:r>
        <w:t xml:space="preserve"> </w:t>
      </w:r>
      <w:r>
        <w:t xml:space="preserve">(backed by this research doc) that shows the four career directions a graduate can walk —</w:t>
      </w:r>
      <w:r>
        <w:t xml:space="preserve"> </w:t>
      </w:r>
      <w:r>
        <w:rPr>
          <w:i/>
          <w:iCs/>
        </w:rPr>
        <w:t xml:space="preserve">proposal/capture</w:t>
      </w:r>
      <w:r>
        <w:t xml:space="preserve"> </w:t>
      </w:r>
      <w:r>
        <w:t xml:space="preserve">(APMP → Shipley),</w:t>
      </w:r>
      <w:r>
        <w:t xml:space="preserve"> </w:t>
      </w:r>
      <w:r>
        <w:rPr>
          <w:i/>
          <w:iCs/>
        </w:rPr>
        <w:t xml:space="preserve">contracts</w:t>
      </w:r>
      <w:r>
        <w:t xml:space="preserve"> </w:t>
      </w:r>
      <w:r>
        <w:t xml:space="preserve">(NCMA CFCM→CPCM),</w:t>
      </w:r>
      <w:r>
        <w:t xml:space="preserve"> </w:t>
      </w:r>
      <w:r>
        <w:rPr>
          <w:i/>
          <w:iCs/>
        </w:rPr>
        <w:t xml:space="preserve">program/project delivery</w:t>
      </w:r>
      <w:r>
        <w:t xml:space="preserve"> </w:t>
      </w:r>
      <w:r>
        <w:t xml:space="preserve">(CAPM→PMP; FAC-P/PM), and</w:t>
      </w:r>
      <w:r>
        <w:t xml:space="preserve"> </w:t>
      </w:r>
      <w:r>
        <w:rPr>
          <w:i/>
          <w:iCs/>
        </w:rPr>
        <w:t xml:space="preserve">services marketing/BD</w:t>
      </w:r>
      <w:r>
        <w:t xml:space="preserve"> </w:t>
      </w:r>
      <w:r>
        <w:t xml:space="preserve">(CPSM) — with each direction’s concept-alignment back to the doctrine. This keeps the doctrine stable while giving students the industry map.</w:t>
      </w:r>
    </w:p>
    <w:p>
      <w:r>
        <w:pict>
          <v:rect style="width:0;height:1.5pt" o:hralign="center" o:hrstd="t" o:hr="t"/>
        </w:pict>
      </w:r>
    </w:p>
    <w:bookmarkEnd w:id="29"/>
    <w:bookmarkStart w:id="30" w:name="X7cdd93177b02df524373f3522e41098b5a65b19"/>
    <w:p>
      <w:pPr>
        <w:pStyle w:val="Heading2"/>
      </w:pPr>
      <w:r>
        <w:t xml:space="preserve">10. Curriculum alignment — what the repo actually teaches (verified file citations)</w:t>
      </w:r>
    </w:p>
    <w:p>
      <w:pPr>
        <w:pStyle w:val="FirstParagraph"/>
      </w:pPr>
      <w:r>
        <w:t xml:space="preserve">All citations are to files in the curriculum repo (</w:t>
      </w:r>
      <w:r>
        <w:rPr>
          <w:rStyle w:val="VerbatimChar"/>
        </w:rPr>
        <w:t xml:space="preserve">DreamLimited/dream-curriculum</w:t>
      </w:r>
      <w:r>
        <w:t xml:space="preserv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Credential knowledge domain</w:t>
            </w:r>
          </w:p>
        </w:tc>
        <w:tc>
          <w:tcPr/>
          <w:p>
            <w:pPr>
              <w:pStyle w:val="Compact"/>
              <w:jc w:val="left"/>
            </w:pPr>
            <w:r>
              <w:t xml:space="preserve">Curriculum coverage (file → what it teaches)</w:t>
            </w:r>
          </w:p>
        </w:tc>
        <w:tc>
          <w:tcPr/>
          <w:p>
            <w:pPr>
              <w:pStyle w:val="Compact"/>
              <w:jc w:val="left"/>
            </w:pPr>
            <w:r>
              <w:t xml:space="preserve">Coverage grade</w:t>
            </w:r>
          </w:p>
        </w:tc>
      </w:tr>
      <w:tr>
        <w:tc>
          <w:tcPr/>
          <w:p>
            <w:pPr>
              <w:pStyle w:val="Compact"/>
              <w:jc w:val="left"/>
            </w:pPr>
            <w:r>
              <w:t xml:space="preserve">Bid/proposal lifecycle (APMP/Shipley)</w:t>
            </w:r>
          </w:p>
        </w:tc>
        <w:tc>
          <w:tcPr/>
          <w:p>
            <w:pPr>
              <w:pStyle w:val="Compact"/>
              <w:jc w:val="left"/>
            </w:pPr>
            <w:r>
              <w:rPr>
                <w:rStyle w:val="VerbatimChar"/>
              </w:rPr>
              <w:t xml:space="preserve">doctrine/03-the-pursuit-pipeline.md</w:t>
            </w:r>
            <w:r>
              <w:t xml:space="preserve"> </w:t>
            </w:r>
            <w:r>
              <w:t xml:space="preserve">(sense→…→learn);</w:t>
            </w:r>
            <w:r>
              <w:t xml:space="preserve"> </w:t>
            </w:r>
            <w:r>
              <w:rPr>
                <w:rStyle w:val="VerbatimChar"/>
              </w:rPr>
              <w:t xml:space="preserve">literacy/industry-standard-canon.md</w:t>
            </w:r>
            <w:r>
              <w:t xml:space="preserve"> </w:t>
            </w:r>
            <w:r>
              <w:t xml:space="preserve">(BD lifecycle map)</w:t>
            </w:r>
          </w:p>
        </w:tc>
        <w:tc>
          <w:tcPr/>
          <w:p>
            <w:pPr>
              <w:pStyle w:val="Compact"/>
              <w:jc w:val="left"/>
            </w:pPr>
            <w:r>
              <w:rPr>
                <w:b/>
                <w:bCs/>
              </w:rPr>
              <w:t xml:space="preserve">Strong</w:t>
            </w:r>
          </w:p>
        </w:tc>
      </w:tr>
      <w:tr>
        <w:tc>
          <w:tcPr/>
          <w:p>
            <w:pPr>
              <w:pStyle w:val="Compact"/>
              <w:jc w:val="left"/>
            </w:pPr>
            <w:r>
              <w:t xml:space="preserve">Gates &amp; bid/no-bid discipline</w:t>
            </w:r>
          </w:p>
        </w:tc>
        <w:tc>
          <w:tcPr/>
          <w:p>
            <w:pPr>
              <w:pStyle w:val="Compact"/>
              <w:jc w:val="left"/>
            </w:pPr>
            <w:r>
              <w:rPr>
                <w:rStyle w:val="VerbatimChar"/>
              </w:rPr>
              <w:t xml:space="preserve">doctrine/04-gates-and-governance.md</w:t>
            </w:r>
            <w:r>
              <w:t xml:space="preserve">;</w:t>
            </w:r>
            <w:r>
              <w:t xml:space="preserve"> </w:t>
            </w:r>
            <w:r>
              <w:rPr>
                <w:rStyle w:val="VerbatimChar"/>
              </w:rPr>
              <w:t xml:space="preserve">modules/shared-core.md</w:t>
            </w:r>
            <w:r>
              <w:t xml:space="preserve"> </w:t>
            </w:r>
            <w:r>
              <w:t xml:space="preserve">S2/S5;</w:t>
            </w:r>
            <w:r>
              <w:t xml:space="preserve"> </w:t>
            </w:r>
            <w:r>
              <w:rPr>
                <w:rStyle w:val="VerbatimChar"/>
              </w:rPr>
              <w:t xml:space="preserve">modules/strategic-initiative.md</w:t>
            </w:r>
            <w:r>
              <w:t xml:space="preserve"> </w:t>
            </w:r>
            <w:r>
              <w:t xml:space="preserve">SI-3</w:t>
            </w:r>
          </w:p>
        </w:tc>
        <w:tc>
          <w:tcPr/>
          <w:p>
            <w:pPr>
              <w:pStyle w:val="Compact"/>
              <w:jc w:val="left"/>
            </w:pPr>
            <w:r>
              <w:rPr>
                <w:b/>
                <w:bCs/>
              </w:rPr>
              <w:t xml:space="preserve">Strong</w:t>
            </w:r>
          </w:p>
        </w:tc>
      </w:tr>
      <w:tr>
        <w:tc>
          <w:tcPr/>
          <w:p>
            <w:pPr>
              <w:pStyle w:val="Compact"/>
              <w:jc w:val="left"/>
            </w:pPr>
            <w:r>
              <w:t xml:space="preserve">Compliance matrix / solicitation reading</w:t>
            </w:r>
          </w:p>
        </w:tc>
        <w:tc>
          <w:tcPr/>
          <w:p>
            <w:pPr>
              <w:pStyle w:val="Compact"/>
              <w:jc w:val="left"/>
            </w:pPr>
            <w:r>
              <w:rPr>
                <w:rStyle w:val="VerbatimChar"/>
              </w:rPr>
              <w:t xml:space="preserve">doctrine/02-rfps-and-solicitations.md</w:t>
            </w:r>
            <w:r>
              <w:t xml:space="preserve">;</w:t>
            </w:r>
            <w:r>
              <w:t xml:space="preserve"> </w:t>
            </w:r>
            <w:r>
              <w:rPr>
                <w:rStyle w:val="VerbatimChar"/>
              </w:rPr>
              <w:t xml:space="preserve">modules/shared-core.md</w:t>
            </w:r>
            <w:r>
              <w:t xml:space="preserve"> </w:t>
            </w:r>
            <w:r>
              <w:t xml:space="preserve">S3;</w:t>
            </w:r>
            <w:r>
              <w:t xml:space="preserve"> </w:t>
            </w:r>
            <w:r>
              <w:rPr>
                <w:rStyle w:val="VerbatimChar"/>
              </w:rPr>
              <w:t xml:space="preserve">course/assessments-and-rubric.md</w:t>
            </w:r>
            <w:r>
              <w:t xml:space="preserve"> </w:t>
            </w:r>
            <w:r>
              <w:t xml:space="preserve">(midterm)</w:t>
            </w:r>
          </w:p>
        </w:tc>
        <w:tc>
          <w:tcPr/>
          <w:p>
            <w:pPr>
              <w:pStyle w:val="Compact"/>
              <w:jc w:val="left"/>
            </w:pPr>
            <w:r>
              <w:rPr>
                <w:b/>
                <w:bCs/>
              </w:rPr>
              <w:t xml:space="preserve">Strong</w:t>
            </w:r>
          </w:p>
        </w:tc>
      </w:tr>
      <w:tr>
        <w:tc>
          <w:tcPr/>
          <w:p>
            <w:pPr>
              <w:pStyle w:val="Compact"/>
              <w:jc w:val="left"/>
            </w:pPr>
            <w:r>
              <w:t xml:space="preserve">Score = pWin × value, threshold</w:t>
            </w:r>
          </w:p>
        </w:tc>
        <w:tc>
          <w:tcPr/>
          <w:p>
            <w:pPr>
              <w:pStyle w:val="Compact"/>
              <w:jc w:val="left"/>
            </w:pPr>
            <w:r>
              <w:rPr>
                <w:rStyle w:val="VerbatimChar"/>
              </w:rPr>
              <w:t xml:space="preserve">doctrine/05-scoring-and-price-to-win.md</w:t>
            </w:r>
            <w:r>
              <w:t xml:space="preserve">;</w:t>
            </w:r>
            <w:r>
              <w:t xml:space="preserve"> </w:t>
            </w:r>
            <w:r>
              <w:rPr>
                <w:rStyle w:val="VerbatimChar"/>
              </w:rPr>
              <w:t xml:space="preserve">modules/shared-core.md</w:t>
            </w:r>
            <w:r>
              <w:t xml:space="preserve"> </w:t>
            </w:r>
            <w:r>
              <w:t xml:space="preserve">S5</w:t>
            </w:r>
          </w:p>
        </w:tc>
        <w:tc>
          <w:tcPr/>
          <w:p>
            <w:pPr>
              <w:pStyle w:val="Compact"/>
              <w:jc w:val="left"/>
            </w:pPr>
            <w:r>
              <w:rPr>
                <w:b/>
                <w:bCs/>
              </w:rPr>
              <w:t xml:space="preserve">Strong</w:t>
            </w:r>
          </w:p>
        </w:tc>
      </w:tr>
      <w:tr>
        <w:tc>
          <w:tcPr/>
          <w:p>
            <w:pPr>
              <w:pStyle w:val="Compact"/>
              <w:jc w:val="left"/>
            </w:pPr>
            <w:r>
              <w:t xml:space="preserve">Price-to-win</w:t>
            </w:r>
          </w:p>
        </w:tc>
        <w:tc>
          <w:tcPr/>
          <w:p>
            <w:pPr>
              <w:pStyle w:val="Compact"/>
              <w:jc w:val="left"/>
            </w:pPr>
            <w:r>
              <w:rPr>
                <w:rStyle w:val="VerbatimChar"/>
              </w:rPr>
              <w:t xml:space="preserve">doctrine/05-scoring-and-price-to-win.md</w:t>
            </w:r>
            <w:r>
              <w:t xml:space="preserve">;</w:t>
            </w:r>
            <w:r>
              <w:t xml:space="preserve"> </w:t>
            </w:r>
            <w:r>
              <w:rPr>
                <w:rStyle w:val="VerbatimChar"/>
              </w:rPr>
              <w:t xml:space="preserve">modules/mba.md</w:t>
            </w:r>
            <w:r>
              <w:t xml:space="preserve"> </w:t>
            </w:r>
            <w:r>
              <w:t xml:space="preserve">MBA-2</w:t>
            </w:r>
          </w:p>
        </w:tc>
        <w:tc>
          <w:tcPr/>
          <w:p>
            <w:pPr>
              <w:pStyle w:val="Compact"/>
              <w:jc w:val="left"/>
            </w:pPr>
            <w:r>
              <w:rPr>
                <w:b/>
                <w:bCs/>
              </w:rPr>
              <w:t xml:space="preserve">Strong</w:t>
            </w:r>
            <w:r>
              <w:t xml:space="preserve"> </w:t>
            </w:r>
            <w:r>
              <w:t xml:space="preserve">(concept level)</w:t>
            </w:r>
          </w:p>
        </w:tc>
      </w:tr>
      <w:tr>
        <w:tc>
          <w:tcPr/>
          <w:p>
            <w:pPr>
              <w:pStyle w:val="Compact"/>
              <w:jc w:val="left"/>
            </w:pPr>
            <w:r>
              <w:t xml:space="preserve">Capture / win strategy</w:t>
            </w:r>
          </w:p>
        </w:tc>
        <w:tc>
          <w:tcPr/>
          <w:p>
            <w:pPr>
              <w:pStyle w:val="Compact"/>
              <w:jc w:val="left"/>
            </w:pPr>
            <w:r>
              <w:rPr>
                <w:rStyle w:val="VerbatimChar"/>
              </w:rPr>
              <w:t xml:space="preserve">doctrine/04-gates-and-governance.md</w:t>
            </w:r>
            <w:r>
              <w:t xml:space="preserve">;</w:t>
            </w:r>
            <w:r>
              <w:t xml:space="preserve"> </w:t>
            </w:r>
            <w:r>
              <w:rPr>
                <w:rStyle w:val="VerbatimChar"/>
              </w:rPr>
              <w:t xml:space="preserve">align/concept-to-system-map.md</w:t>
            </w:r>
            <w:r>
              <w:t xml:space="preserve"> </w:t>
            </w:r>
            <w:r>
              <w:t xml:space="preserve">§4–5 (DNA capture rules)</w:t>
            </w:r>
          </w:p>
        </w:tc>
        <w:tc>
          <w:tcPr/>
          <w:p>
            <w:pPr>
              <w:pStyle w:val="Compact"/>
              <w:jc w:val="left"/>
            </w:pPr>
            <w:r>
              <w:rPr>
                <w:b/>
                <w:bCs/>
              </w:rPr>
              <w:t xml:space="preserve">Medium</w:t>
            </w:r>
          </w:p>
        </w:tc>
      </w:tr>
      <w:tr>
        <w:tc>
          <w:tcPr/>
          <w:p>
            <w:pPr>
              <w:pStyle w:val="Compact"/>
              <w:jc w:val="left"/>
            </w:pPr>
            <w:r>
              <w:t xml:space="preserve">Color-team reviews</w:t>
            </w:r>
          </w:p>
        </w:tc>
        <w:tc>
          <w:tcPr/>
          <w:p>
            <w:pPr>
              <w:pStyle w:val="Compact"/>
              <w:jc w:val="left"/>
            </w:pPr>
            <w:r>
              <w:rPr>
                <w:rStyle w:val="VerbatimChar"/>
              </w:rPr>
              <w:t xml:space="preserve">doctrine/04-gates-and-governance.md</w:t>
            </w:r>
            <w:r>
              <w:t xml:space="preserve">;</w:t>
            </w:r>
            <w:r>
              <w:t xml:space="preserve"> </w:t>
            </w:r>
            <w:r>
              <w:rPr>
                <w:rStyle w:val="VerbatimChar"/>
              </w:rPr>
              <w:t xml:space="preserve">literacy/how-color-teams-work.md</w:t>
            </w:r>
            <w:r>
              <w:t xml:space="preserve"> </w:t>
            </w:r>
            <w:r>
              <w:t xml:space="preserve">(merged)</w:t>
            </w:r>
          </w:p>
        </w:tc>
        <w:tc>
          <w:tcPr/>
          <w:p>
            <w:pPr>
              <w:pStyle w:val="Compact"/>
              <w:jc w:val="left"/>
            </w:pPr>
            <w:r>
              <w:rPr>
                <w:b/>
                <w:bCs/>
              </w:rPr>
              <w:t xml:space="preserve">Medium</w:t>
            </w:r>
          </w:p>
        </w:tc>
      </w:tr>
      <w:tr>
        <w:tc>
          <w:tcPr/>
          <w:p>
            <w:pPr>
              <w:pStyle w:val="Compact"/>
              <w:jc w:val="left"/>
            </w:pPr>
            <w:r>
              <w:t xml:space="preserve">Money flow / identifiers / small-business programs</w:t>
            </w:r>
          </w:p>
        </w:tc>
        <w:tc>
          <w:tcPr/>
          <w:p>
            <w:pPr>
              <w:pStyle w:val="Compact"/>
              <w:jc w:val="left"/>
            </w:pPr>
            <w:r>
              <w:rPr>
                <w:rStyle w:val="VerbatimChar"/>
              </w:rPr>
              <w:t xml:space="preserve">doctrine/01-where-the-money-lives.md</w:t>
            </w:r>
            <w:r>
              <w:t xml:space="preserve">;</w:t>
            </w:r>
            <w:r>
              <w:t xml:space="preserve"> </w:t>
            </w:r>
            <w:r>
              <w:rPr>
                <w:rStyle w:val="VerbatimChar"/>
              </w:rPr>
              <w:t xml:space="preserve">modules/mba.md</w:t>
            </w:r>
            <w:r>
              <w:t xml:space="preserve"> </w:t>
            </w:r>
            <w:r>
              <w:t xml:space="preserve">MBA-4;</w:t>
            </w:r>
            <w:r>
              <w:t xml:space="preserve"> </w:t>
            </w:r>
            <w:r>
              <w:rPr>
                <w:rStyle w:val="VerbatimChar"/>
              </w:rPr>
              <w:t xml:space="preserve">case-study/ravonics.md</w:t>
            </w:r>
          </w:p>
        </w:tc>
        <w:tc>
          <w:tcPr/>
          <w:p>
            <w:pPr>
              <w:pStyle w:val="Compact"/>
              <w:jc w:val="left"/>
            </w:pPr>
            <w:r>
              <w:rPr>
                <w:b/>
                <w:bCs/>
              </w:rPr>
              <w:t xml:space="preserve">Strong</w:t>
            </w:r>
          </w:p>
        </w:tc>
      </w:tr>
      <w:tr>
        <w:tc>
          <w:tcPr/>
          <w:p>
            <w:pPr>
              <w:pStyle w:val="Compact"/>
              <w:jc w:val="left"/>
            </w:pPr>
            <w:r>
              <w:t xml:space="preserve">FAR/DFARS as law</w:t>
            </w:r>
          </w:p>
        </w:tc>
        <w:tc>
          <w:tcPr/>
          <w:p>
            <w:pPr>
              <w:pStyle w:val="Compact"/>
              <w:jc w:val="left"/>
            </w:pPr>
            <w:r>
              <w:rPr>
                <w:rStyle w:val="VerbatimChar"/>
              </w:rPr>
              <w:t xml:space="preserve">doctrine/04-gates-and-governance.md</w:t>
            </w:r>
            <w:r>
              <w:t xml:space="preserve"> </w:t>
            </w:r>
            <w:r>
              <w:t xml:space="preserve">(governance, not rulebook);</w:t>
            </w:r>
            <w:r>
              <w:t xml:space="preserve"> </w:t>
            </w:r>
            <w:r>
              <w:rPr>
                <w:rStyle w:val="VerbatimChar"/>
              </w:rPr>
              <w:t xml:space="preserve">modules/mpa.md</w:t>
            </w:r>
          </w:p>
        </w:tc>
        <w:tc>
          <w:tcPr/>
          <w:p>
            <w:pPr>
              <w:pStyle w:val="Compact"/>
              <w:jc w:val="left"/>
            </w:pPr>
            <w:r>
              <w:rPr>
                <w:b/>
                <w:bCs/>
              </w:rPr>
              <w:t xml:space="preserve">Medium</w:t>
            </w:r>
            <w:r>
              <w:t xml:space="preserve"> </w:t>
            </w:r>
            <w:r>
              <w:t xml:space="preserve">(concept, not article-level)</w:t>
            </w:r>
          </w:p>
        </w:tc>
      </w:tr>
      <w:tr>
        <w:tc>
          <w:tcPr/>
          <w:p>
            <w:pPr>
              <w:pStyle w:val="Compact"/>
              <w:jc w:val="left"/>
            </w:pPr>
            <w:r>
              <w:t xml:space="preserve">Post-award contract administration</w:t>
            </w:r>
          </w:p>
        </w:tc>
        <w:tc>
          <w:tcPr/>
          <w:p>
            <w:pPr>
              <w:pStyle w:val="Compact"/>
              <w:jc w:val="left"/>
            </w:pPr>
            <w:r>
              <w:rPr>
                <w:rStyle w:val="VerbatimChar"/>
              </w:rPr>
              <w:t xml:space="preserve">doctrine/07-lifecycle-dream-orbital-world.md</w:t>
            </w:r>
            <w:r>
              <w:t xml:space="preserve"> </w:t>
            </w:r>
            <w:r>
              <w:t xml:space="preserve">(deliver stage, conceptually);</w:t>
            </w:r>
            <w:r>
              <w:t xml:space="preserve"> </w:t>
            </w:r>
            <w:r>
              <w:rPr>
                <w:rStyle w:val="VerbatimChar"/>
              </w:rPr>
              <w:t xml:space="preserve">modules/mba.md</w:t>
            </w:r>
            <w:r>
              <w:t xml:space="preserve"> </w:t>
            </w:r>
            <w:r>
              <w:t xml:space="preserve">MBA-5 (flywheel)</w:t>
            </w:r>
          </w:p>
        </w:tc>
        <w:tc>
          <w:tcPr/>
          <w:p>
            <w:pPr>
              <w:pStyle w:val="Compact"/>
              <w:jc w:val="left"/>
            </w:pPr>
            <w:r>
              <w:rPr>
                <w:b/>
                <w:bCs/>
              </w:rPr>
              <w:t xml:space="preserve">Weak</w:t>
            </w:r>
          </w:p>
        </w:tc>
      </w:tr>
      <w:tr>
        <w:tc>
          <w:tcPr/>
          <w:p>
            <w:pPr>
              <w:pStyle w:val="Compact"/>
              <w:jc w:val="left"/>
            </w:pPr>
            <w:r>
              <w:t xml:space="preserve">Project management (scope/schedule/cost/EVM)</w:t>
            </w:r>
          </w:p>
        </w:tc>
        <w:tc>
          <w:tcPr/>
          <w:p>
            <w:pPr>
              <w:pStyle w:val="Compact"/>
              <w:jc w:val="left"/>
            </w:pPr>
            <w:r>
              <w:rPr>
                <w:rStyle w:val="VerbatimChar"/>
              </w:rPr>
              <w:t xml:space="preserve">modules/mba.md</w:t>
            </w:r>
            <w:r>
              <w:t xml:space="preserve"> </w:t>
            </w:r>
            <w:r>
              <w:t xml:space="preserve">MBA-6 (portfolio);</w:t>
            </w:r>
            <w:r>
              <w:t xml:space="preserve"> </w:t>
            </w:r>
            <w:r>
              <w:rPr>
                <w:rStyle w:val="VerbatimChar"/>
              </w:rPr>
              <w:t xml:space="preserve">modules/strategic-initiative.md</w:t>
            </w:r>
            <w:r>
              <w:t xml:space="preserve"> </w:t>
            </w:r>
            <w:r>
              <w:t xml:space="preserve">SI-6 (metrics)</w:t>
            </w:r>
          </w:p>
        </w:tc>
        <w:tc>
          <w:tcPr/>
          <w:p>
            <w:pPr>
              <w:pStyle w:val="Compact"/>
              <w:jc w:val="left"/>
            </w:pPr>
            <w:r>
              <w:rPr>
                <w:b/>
                <w:bCs/>
              </w:rPr>
              <w:t xml:space="preserve">Weak</w:t>
            </w:r>
            <w:r>
              <w:t xml:space="preserve"> </w:t>
            </w:r>
            <w:r>
              <w:t xml:space="preserve">(portfolio-level only)</w:t>
            </w:r>
          </w:p>
        </w:tc>
      </w:tr>
      <w:tr>
        <w:tc>
          <w:tcPr/>
          <w:p>
            <w:pPr>
              <w:pStyle w:val="Compact"/>
              <w:jc w:val="left"/>
            </w:pPr>
            <w:r>
              <w:t xml:space="preserve">Negotiation / orals</w:t>
            </w:r>
          </w:p>
        </w:tc>
        <w:tc>
          <w:tcPr/>
          <w:p>
            <w:pPr>
              <w:pStyle w:val="Compact"/>
              <w:jc w:val="left"/>
            </w:pPr>
            <w:r>
              <w:t xml:space="preserve">Doctrine 07 post-submit corridor (named, not taught)</w:t>
            </w:r>
          </w:p>
        </w:tc>
        <w:tc>
          <w:tcPr/>
          <w:p>
            <w:pPr>
              <w:pStyle w:val="Compact"/>
              <w:jc w:val="left"/>
            </w:pPr>
            <w:r>
              <w:rPr>
                <w:b/>
                <w:bCs/>
              </w:rPr>
              <w:t xml:space="preserve">Weak</w:t>
            </w:r>
          </w:p>
        </w:tc>
      </w:tr>
      <w:tr>
        <w:tc>
          <w:tcPr/>
          <w:p>
            <w:pPr>
              <w:pStyle w:val="Compact"/>
              <w:jc w:val="left"/>
            </w:pPr>
            <w:r>
              <w:t xml:space="preserve">Cost estimating / price analysis</w:t>
            </w:r>
          </w:p>
        </w:tc>
        <w:tc>
          <w:tcPr/>
          <w:p>
            <w:pPr>
              <w:pStyle w:val="Compact"/>
              <w:jc w:val="left"/>
            </w:pPr>
            <w:r>
              <w:rPr>
                <w:rStyle w:val="VerbatimChar"/>
              </w:rPr>
              <w:t xml:space="preserve">doctrine/05-scoring-and-price-to-win.md</w:t>
            </w:r>
            <w:r>
              <w:t xml:space="preserve"> </w:t>
            </w:r>
            <w:r>
              <w:t xml:space="preserve">(strategic pricing only)</w:t>
            </w:r>
          </w:p>
        </w:tc>
        <w:tc>
          <w:tcPr/>
          <w:p>
            <w:pPr>
              <w:pStyle w:val="Compact"/>
              <w:jc w:val="left"/>
            </w:pPr>
            <w:r>
              <w:rPr>
                <w:b/>
                <w:bCs/>
              </w:rPr>
              <w:t xml:space="preserve">Weak</w:t>
            </w:r>
          </w:p>
        </w:tc>
      </w:tr>
    </w:tbl>
    <w:p>
      <w:pPr>
        <w:pStyle w:val="BodyText"/>
      </w:pPr>
      <w:r>
        <w:rPr>
          <w:b/>
          <w:bCs/>
        </w:rPr>
        <w:t xml:space="preserve">Honest headline for faculty:</w:t>
      </w:r>
      <w:r>
        <w:t xml:space="preserve"> </w:t>
      </w:r>
      <w:r>
        <w:t xml:space="preserve">the curriculum’s strongest certification alignment is to the</w:t>
      </w:r>
      <w:r>
        <w:t xml:space="preserve"> </w:t>
      </w:r>
      <w:r>
        <w:rPr>
          <w:b/>
          <w:bCs/>
        </w:rPr>
        <w:t xml:space="preserve">APMP Foundation/Practitioner knowledge base</w:t>
      </w:r>
      <w:r>
        <w:t xml:space="preserve"> </w:t>
      </w:r>
      <w:r>
        <w:t xml:space="preserve">and the</w:t>
      </w:r>
      <w:r>
        <w:t xml:space="preserve"> </w:t>
      </w:r>
      <w:r>
        <w:rPr>
          <w:b/>
          <w:bCs/>
        </w:rPr>
        <w:t xml:space="preserve">Shipley method’s concepts</w:t>
      </w:r>
      <w:r>
        <w:t xml:space="preserve"> </w:t>
      </w:r>
      <w:r>
        <w:t xml:space="preserve">— because those are the disciplines the doctrine is built from (via the license-clean paraphrase corpus). Its weakest alignment is to</w:t>
      </w:r>
      <w:r>
        <w:t xml:space="preserve"> </w:t>
      </w:r>
      <w:r>
        <w:rPr>
          <w:b/>
          <w:bCs/>
        </w:rPr>
        <w:t xml:space="preserve">NCMA/CPCM</w:t>
      </w:r>
      <w:r>
        <w:t xml:space="preserve"> </w:t>
      </w:r>
      <w:r>
        <w:t xml:space="preserve">(post-award + FAR depth),</w:t>
      </w:r>
      <w:r>
        <w:t xml:space="preserve"> </w:t>
      </w:r>
      <w:r>
        <w:rPr>
          <w:b/>
          <w:bCs/>
        </w:rPr>
        <w:t xml:space="preserve">PMP</w:t>
      </w:r>
      <w:r>
        <w:t xml:space="preserve"> </w:t>
      </w:r>
      <w:r>
        <w:t xml:space="preserve">(PM discipline), and the</w:t>
      </w:r>
      <w:r>
        <w:t xml:space="preserve"> </w:t>
      </w:r>
      <w:r>
        <w:rPr>
          <w:b/>
          <w:bCs/>
        </w:rPr>
        <w:t xml:space="preserve">government-side DAWIA/FAC-C</w:t>
      </w:r>
      <w:r>
        <w:t xml:space="preserve"> </w:t>
      </w:r>
      <w:r>
        <w:t xml:space="preserve">certificates — because those are different bodies of knowledge than the pursuit pipeline.</w:t>
      </w:r>
    </w:p>
    <w:p>
      <w:r>
        <w:pict>
          <v:rect style="width:0;height:1.5pt" o:hralign="center" o:hrstd="t" o:hr="t"/>
        </w:pict>
      </w:r>
    </w:p>
    <w:bookmarkEnd w:id="30"/>
    <w:bookmarkStart w:id="31" w:name="verification-status-register"/>
    <w:p>
      <w:pPr>
        <w:pStyle w:val="Heading2"/>
      </w:pPr>
      <w:r>
        <w:t xml:space="preserve">11. Verification status register</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Item</w:t>
            </w:r>
          </w:p>
        </w:tc>
        <w:tc>
          <w:tcPr/>
          <w:p>
            <w:pPr>
              <w:pStyle w:val="Compact"/>
              <w:jc w:val="left"/>
            </w:pPr>
            <w:r>
              <w:t xml:space="preserve">Status</w:t>
            </w:r>
          </w:p>
        </w:tc>
      </w:tr>
      <w:tr>
        <w:tc>
          <w:tcPr/>
          <w:p>
            <w:pPr>
              <w:pStyle w:val="Compact"/>
              <w:jc w:val="left"/>
            </w:pPr>
            <w:r>
              <w:t xml:space="preserve">APMP current ladder (Foundation/Practitioner/Professional/CPP, Capture Practitioner/Professional)</w:t>
            </w:r>
          </w:p>
        </w:tc>
        <w:tc>
          <w:tcPr/>
          <w:p>
            <w:pPr>
              <w:pStyle w:val="Compact"/>
              <w:jc w:val="left"/>
            </w:pPr>
            <w:r>
              <w:rPr>
                <w:b/>
                <w:bCs/>
              </w:rPr>
              <w:t xml:space="preserve">Verified</w:t>
            </w:r>
            <w:r>
              <w:t xml:space="preserve"> </w:t>
            </w:r>
            <w:r>
              <w:t xml:space="preserve">(APMP-ANZ certification page; APMP certification overview PDF; chapter sources)</w:t>
            </w:r>
          </w:p>
        </w:tc>
      </w:tr>
      <w:tr>
        <w:tc>
          <w:tcPr/>
          <w:p>
            <w:pPr>
              <w:pStyle w:val="Compact"/>
              <w:jc w:val="left"/>
            </w:pPr>
            <w:r>
              <w:t xml:space="preserve">APMP Foundation exam format (75-Q, open-book, pass-fail) &amp; experience bands (1–3 / 3–7 / 7+)</w:t>
            </w:r>
          </w:p>
        </w:tc>
        <w:tc>
          <w:tcPr/>
          <w:p>
            <w:pPr>
              <w:pStyle w:val="Compact"/>
              <w:jc w:val="left"/>
            </w:pPr>
            <w:r>
              <w:rPr>
                <w:b/>
                <w:bCs/>
              </w:rPr>
              <w:t xml:space="preserve">Verified</w:t>
            </w:r>
            <w:r>
              <w:t xml:space="preserve"> </w:t>
            </w:r>
            <w:r>
              <w:t xml:space="preserve">(multiple sources)</w:t>
            </w:r>
          </w:p>
        </w:tc>
      </w:tr>
      <w:tr>
        <w:tc>
          <w:tcPr/>
          <w:p>
            <w:pPr>
              <w:pStyle w:val="Compact"/>
              <w:jc w:val="left"/>
            </w:pPr>
            <w:r>
              <w:t xml:space="preserve">APMP legacy</w:t>
            </w:r>
            <w:r>
              <w:t xml:space="preserve"> </w:t>
            </w:r>
            <w:r>
              <w:t xml:space="preserve">“</w:t>
            </w:r>
            <w:r>
              <w:t xml:space="preserve">CF APMP / CP APMP</w:t>
            </w:r>
            <w:r>
              <w:t xml:space="preserve">”</w:t>
            </w:r>
            <w:r>
              <w:t xml:space="preserve"> </w:t>
            </w:r>
            <w:r>
              <w:t xml:space="preserve">naming</w:t>
            </w:r>
          </w:p>
        </w:tc>
        <w:tc>
          <w:tcPr/>
          <w:p>
            <w:pPr>
              <w:pStyle w:val="Compact"/>
              <w:jc w:val="left"/>
            </w:pPr>
            <w:r>
              <w:rPr>
                <w:b/>
                <w:bCs/>
              </w:rPr>
              <w:t xml:space="preserve">Needs confirmation</w:t>
            </w:r>
            <w:r>
              <w:t xml:space="preserve"> </w:t>
            </w:r>
            <w:r>
              <w:t xml:space="preserve">(secondary source only; current APMP site uses new names)</w:t>
            </w:r>
          </w:p>
        </w:tc>
      </w:tr>
      <w:tr>
        <w:tc>
          <w:tcPr/>
          <w:p>
            <w:pPr>
              <w:pStyle w:val="Compact"/>
              <w:jc w:val="left"/>
            </w:pPr>
            <w:r>
              <w:t xml:space="preserve">APMP micro-certifications &amp; price band ($125–900)</w:t>
            </w:r>
          </w:p>
        </w:tc>
        <w:tc>
          <w:tcPr/>
          <w:p>
            <w:pPr>
              <w:pStyle w:val="Compact"/>
              <w:jc w:val="left"/>
            </w:pPr>
            <w:r>
              <w:rPr>
                <w:b/>
                <w:bCs/>
              </w:rPr>
              <w:t xml:space="preserve">Verified</w:t>
            </w:r>
            <w:r>
              <w:t xml:space="preserve"> </w:t>
            </w:r>
            <w:r>
              <w:t xml:space="preserve">(APMP-ANZ)</w:t>
            </w:r>
          </w:p>
        </w:tc>
      </w:tr>
      <w:tr>
        <w:tc>
          <w:tcPr/>
          <w:p>
            <w:pPr>
              <w:pStyle w:val="Compact"/>
              <w:jc w:val="left"/>
            </w:pPr>
            <w:r>
              <w:t xml:space="preserve">Shipley star ladder (One/Two/Three) + embedded assessment</w:t>
            </w:r>
          </w:p>
        </w:tc>
        <w:tc>
          <w:tcPr/>
          <w:p>
            <w:pPr>
              <w:pStyle w:val="Compact"/>
              <w:jc w:val="left"/>
            </w:pPr>
            <w:r>
              <w:rPr>
                <w:b/>
                <w:bCs/>
              </w:rPr>
              <w:t xml:space="preserve">Verified</w:t>
            </w:r>
            <w:r>
              <w:t xml:space="preserve"> </w:t>
            </w:r>
            <w:r>
              <w:t xml:space="preserve">(shipleywins.com.au; shipleywins.com; Credly)</w:t>
            </w:r>
          </w:p>
        </w:tc>
      </w:tr>
      <w:tr>
        <w:tc>
          <w:tcPr/>
          <w:p>
            <w:pPr>
              <w:pStyle w:val="Compact"/>
              <w:jc w:val="left"/>
            </w:pPr>
            <w:r>
              <w:t xml:space="preserve">Shipley US</w:t>
            </w:r>
            <w:r>
              <w:t xml:space="preserve"> </w:t>
            </w:r>
            <w:r>
              <w:t xml:space="preserve">“</w:t>
            </w:r>
            <w:r>
              <w:t xml:space="preserve">6 core + 4 elective unit</w:t>
            </w:r>
            <w:r>
              <w:t xml:space="preserve">”</w:t>
            </w:r>
            <w:r>
              <w:t xml:space="preserve"> </w:t>
            </w:r>
            <w:r>
              <w:t xml:space="preserve">certification route</w:t>
            </w:r>
          </w:p>
        </w:tc>
        <w:tc>
          <w:tcPr/>
          <w:p>
            <w:pPr>
              <w:pStyle w:val="Compact"/>
              <w:jc w:val="left"/>
            </w:pPr>
            <w:r>
              <w:rPr>
                <w:b/>
                <w:bCs/>
              </w:rPr>
              <w:t xml:space="preserve">Verified</w:t>
            </w:r>
            <w:r>
              <w:t xml:space="preserve"> </w:t>
            </w:r>
            <w:r>
              <w:t xml:space="preserve">(shipleywins.com) — regional variance noted</w:t>
            </w:r>
          </w:p>
        </w:tc>
      </w:tr>
      <w:tr>
        <w:tc>
          <w:tcPr/>
          <w:p>
            <w:pPr>
              <w:pStyle w:val="Compact"/>
              <w:jc w:val="left"/>
            </w:pPr>
            <w:r>
              <w:t xml:space="preserve">SPMBOK = Software Product Management BOK (ISPMA), not Shipley</w:t>
            </w:r>
          </w:p>
        </w:tc>
        <w:tc>
          <w:tcPr/>
          <w:p>
            <w:pPr>
              <w:pStyle w:val="Compact"/>
              <w:jc w:val="left"/>
            </w:pPr>
            <w:r>
              <w:rPr>
                <w:b/>
                <w:bCs/>
              </w:rPr>
              <w:t xml:space="preserve">Verified</w:t>
            </w:r>
            <w:r>
              <w:t xml:space="preserve"> </w:t>
            </w:r>
            <w:r>
              <w:t xml:space="preserve">(research) — treat as a naming correction</w:t>
            </w:r>
          </w:p>
        </w:tc>
      </w:tr>
      <w:tr>
        <w:tc>
          <w:tcPr/>
          <w:p>
            <w:pPr>
              <w:pStyle w:val="Compact"/>
              <w:jc w:val="left"/>
            </w:pPr>
            <w:r>
              <w:t xml:space="preserve">NCMA ladder (CCMA/CFCM/CCCM/CPCM) + experience/CPE/exam</w:t>
            </w:r>
          </w:p>
        </w:tc>
        <w:tc>
          <w:tcPr/>
          <w:p>
            <w:pPr>
              <w:pStyle w:val="Compact"/>
              <w:jc w:val="left"/>
            </w:pPr>
            <w:r>
              <w:rPr>
                <w:b/>
                <w:bCs/>
              </w:rPr>
              <w:t xml:space="preserve">Verified</w:t>
            </w:r>
            <w:r>
              <w:t xml:space="preserve"> </w:t>
            </w:r>
            <w:r>
              <w:t xml:space="preserve">(ncmahq.org sources) — some older/chapter sources conflict on fee/experience; confirm against current CPCM/CCCM handbooks</w:t>
            </w:r>
          </w:p>
        </w:tc>
      </w:tr>
      <w:tr>
        <w:tc>
          <w:tcPr/>
          <w:p>
            <w:pPr>
              <w:pStyle w:val="Compact"/>
              <w:jc w:val="left"/>
            </w:pPr>
            <w:r>
              <w:t xml:space="preserve">FAC-C (Professional) CON 1100–1400 curriculum</w:t>
            </w:r>
          </w:p>
        </w:tc>
        <w:tc>
          <w:tcPr/>
          <w:p>
            <w:pPr>
              <w:pStyle w:val="Compact"/>
              <w:jc w:val="left"/>
            </w:pPr>
            <w:r>
              <w:rPr>
                <w:b/>
                <w:bCs/>
              </w:rPr>
              <w:t xml:space="preserve">Verified</w:t>
            </w:r>
            <w:r>
              <w:t xml:space="preserve"> </w:t>
            </w:r>
            <w:r>
              <w:t xml:space="preserve">(fai.gov; Graduate School USA)</w:t>
            </w:r>
          </w:p>
        </w:tc>
      </w:tr>
      <w:tr>
        <w:tc>
          <w:tcPr/>
          <w:p>
            <w:pPr>
              <w:pStyle w:val="Compact"/>
              <w:jc w:val="left"/>
            </w:pPr>
            <w:r>
              <w:t xml:space="preserve">DAWIA Back-to-Basics seven functional areas + tiers</w:t>
            </w:r>
          </w:p>
        </w:tc>
        <w:tc>
          <w:tcPr/>
          <w:p>
            <w:pPr>
              <w:pStyle w:val="Compact"/>
              <w:jc w:val="left"/>
            </w:pPr>
            <w:r>
              <w:rPr>
                <w:b/>
                <w:bCs/>
              </w:rPr>
              <w:t xml:space="preserve">Verified</w:t>
            </w:r>
            <w:r>
              <w:t xml:space="preserve"> </w:t>
            </w:r>
            <w:r>
              <w:t xml:space="preserve">(DAU catalog; DAU certification crosswalks)</w:t>
            </w:r>
          </w:p>
        </w:tc>
      </w:tr>
      <w:tr>
        <w:tc>
          <w:tcPr/>
          <w:p>
            <w:pPr>
              <w:pStyle w:val="Compact"/>
              <w:jc w:val="left"/>
            </w:pPr>
            <w:r>
              <w:t xml:space="preserve">PMP requirements + FAC-P/PM reciprocity</w:t>
            </w:r>
          </w:p>
        </w:tc>
        <w:tc>
          <w:tcPr/>
          <w:p>
            <w:pPr>
              <w:pStyle w:val="Compact"/>
              <w:jc w:val="left"/>
            </w:pPr>
            <w:r>
              <w:rPr>
                <w:b/>
                <w:bCs/>
              </w:rPr>
              <w:t xml:space="preserve">Verified</w:t>
            </w:r>
            <w:r>
              <w:t xml:space="preserve"> </w:t>
            </w:r>
            <w:r>
              <w:t xml:space="preserve">(PMI, fai.gov)</w:t>
            </w:r>
          </w:p>
        </w:tc>
      </w:tr>
      <w:tr>
        <w:tc>
          <w:tcPr/>
          <w:p>
            <w:pPr>
              <w:pStyle w:val="Compact"/>
              <w:jc w:val="left"/>
            </w:pPr>
            <w:r>
              <w:t xml:space="preserve">CPSM requirements</w:t>
            </w:r>
          </w:p>
        </w:tc>
        <w:tc>
          <w:tcPr/>
          <w:p>
            <w:pPr>
              <w:pStyle w:val="Compact"/>
              <w:jc w:val="left"/>
            </w:pPr>
            <w:r>
              <w:rPr>
                <w:b/>
                <w:bCs/>
              </w:rPr>
              <w:t xml:space="preserve">Verified</w:t>
            </w:r>
            <w:r>
              <w:t xml:space="preserve"> </w:t>
            </w:r>
            <w:r>
              <w:t xml:space="preserve">(SMPS handbooks)</w:t>
            </w:r>
          </w:p>
        </w:tc>
      </w:tr>
      <w:tr>
        <w:tc>
          <w:tcPr/>
          <w:p>
            <w:pPr>
              <w:pStyle w:val="Compact"/>
              <w:jc w:val="left"/>
            </w:pPr>
            <w:r>
              <w:t xml:space="preserve">AAPTP, ACP-WI</w:t>
            </w:r>
          </w:p>
        </w:tc>
        <w:tc>
          <w:tcPr/>
          <w:p>
            <w:pPr>
              <w:pStyle w:val="Compact"/>
              <w:jc w:val="left"/>
            </w:pPr>
            <w:r>
              <w:rPr>
                <w:b/>
                <w:bCs/>
              </w:rPr>
              <w:t xml:space="preserve">Unverified</w:t>
            </w:r>
            <w:r>
              <w:t xml:space="preserve"> </w:t>
            </w:r>
            <w:r>
              <w:t xml:space="preserve">— could not locate; do not cite (see §8)</w:t>
            </w:r>
          </w:p>
        </w:tc>
      </w:tr>
    </w:tbl>
    <w:p>
      <w:r>
        <w:pict>
          <v:rect style="width:0;height:1.5pt" o:hralign="center" o:hrstd="t" o:hr="t"/>
        </w:pict>
      </w:r>
    </w:p>
    <w:bookmarkEnd w:id="31"/>
    <w:bookmarkStart w:id="32" w:name="sources"/>
    <w:p>
      <w:pPr>
        <w:pStyle w:val="Heading2"/>
      </w:pPr>
      <w:r>
        <w:t xml:space="preserve">12. Sources</w:t>
      </w:r>
    </w:p>
    <w:p>
      <w:pPr>
        <w:pStyle w:val="FirstParagraph"/>
      </w:pPr>
      <w:r>
        <w:t xml:space="preserve">Web sources consulted (2026-08-05):</w:t>
      </w:r>
    </w:p>
    <w:p>
      <w:pPr>
        <w:pStyle w:val="Compact"/>
        <w:numPr>
          <w:ilvl w:val="0"/>
          <w:numId w:val="1007"/>
        </w:numPr>
      </w:pPr>
      <w:r>
        <w:t xml:space="preserve">APMP ANZ certification pages — https://www.apmpanz.org/certification</w:t>
      </w:r>
    </w:p>
    <w:p>
      <w:pPr>
        <w:pStyle w:val="Compact"/>
        <w:numPr>
          <w:ilvl w:val="0"/>
          <w:numId w:val="1007"/>
        </w:numPr>
      </w:pPr>
      <w:r>
        <w:t xml:space="preserve">APMP certification overview (CSK Management, v2.9) — APMP legacy ladder</w:t>
      </w:r>
    </w:p>
    <w:p>
      <w:pPr>
        <w:pStyle w:val="Compact"/>
        <w:numPr>
          <w:ilvl w:val="0"/>
          <w:numId w:val="1007"/>
        </w:numPr>
      </w:pPr>
      <w:r>
        <w:t xml:space="preserve">APMP Foundation training (Chesapeake APMP) — Foundation exam format</w:t>
      </w:r>
    </w:p>
    <w:p>
      <w:pPr>
        <w:pStyle w:val="Compact"/>
        <w:numPr>
          <w:ilvl w:val="0"/>
          <w:numId w:val="1007"/>
        </w:numPr>
      </w:pPr>
      <w:r>
        <w:t xml:space="preserve">Vault / UMD Career Center — CPP APMP process detail (secondary)</w:t>
      </w:r>
    </w:p>
    <w:p>
      <w:pPr>
        <w:pStyle w:val="Compact"/>
        <w:numPr>
          <w:ilvl w:val="0"/>
          <w:numId w:val="1007"/>
        </w:numPr>
      </w:pPr>
      <w:r>
        <w:t xml:space="preserve">Shipley Associates — https://www.shipleywins.com/certification (6 core + 4 elective units)</w:t>
      </w:r>
    </w:p>
    <w:p>
      <w:pPr>
        <w:pStyle w:val="Compact"/>
        <w:numPr>
          <w:ilvl w:val="0"/>
          <w:numId w:val="1007"/>
        </w:numPr>
      </w:pPr>
      <w:r>
        <w:t xml:space="preserve">Shipley APAC — https://shipleywins.com.au/certification (star ladder)</w:t>
      </w:r>
    </w:p>
    <w:p>
      <w:pPr>
        <w:pStyle w:val="Compact"/>
        <w:numPr>
          <w:ilvl w:val="0"/>
          <w:numId w:val="1007"/>
        </w:numPr>
      </w:pPr>
      <w:r>
        <w:t xml:space="preserve">Shipley Credly badges — https://www.credly.com/org/shipley-acredditation</w:t>
      </w:r>
    </w:p>
    <w:p>
      <w:pPr>
        <w:pStyle w:val="Compact"/>
        <w:numPr>
          <w:ilvl w:val="0"/>
          <w:numId w:val="1007"/>
        </w:numPr>
      </w:pPr>
      <w:r>
        <w:t xml:space="preserve">NCMA — https://www.ncmahq.org/certification (ladder; CFCM/CCCM/CPCM handbooks)</w:t>
      </w:r>
    </w:p>
    <w:p>
      <w:pPr>
        <w:pStyle w:val="Compact"/>
        <w:numPr>
          <w:ilvl w:val="0"/>
          <w:numId w:val="1007"/>
        </w:numPr>
      </w:pPr>
      <w:r>
        <w:t xml:space="preserve">FAI — https://www.fai.gov/certification/fac-c (FAC-C Professional; legacy FAC-C)</w:t>
      </w:r>
    </w:p>
    <w:p>
      <w:pPr>
        <w:pStyle w:val="Compact"/>
        <w:numPr>
          <w:ilvl w:val="0"/>
          <w:numId w:val="1007"/>
        </w:numPr>
      </w:pPr>
      <w:r>
        <w:t xml:space="preserve">Graduate School USA — FAC-C/DAWIA contracting program; CON 1100/1200/1300/1400</w:t>
      </w:r>
    </w:p>
    <w:p>
      <w:pPr>
        <w:pStyle w:val="Compact"/>
        <w:numPr>
          <w:ilvl w:val="0"/>
          <w:numId w:val="1007"/>
        </w:numPr>
      </w:pPr>
      <w:r>
        <w:t xml:space="preserve">DAU — https://icatalog.dau.edu (Back-to-Basics functional areas; DAWIA tiers; CON 3900V)</w:t>
      </w:r>
    </w:p>
    <w:p>
      <w:pPr>
        <w:pStyle w:val="Compact"/>
        <w:numPr>
          <w:ilvl w:val="0"/>
          <w:numId w:val="1007"/>
        </w:numPr>
      </w:pPr>
      <w:r>
        <w:t xml:space="preserve">PMI / FAI FAC-P/PM reciprocity page — https://www.fai.gov/certification/fac-ppm/contracting-fac/fac-ppm-reciprocity-other-certifications</w:t>
      </w:r>
    </w:p>
    <w:p>
      <w:pPr>
        <w:pStyle w:val="Compact"/>
        <w:numPr>
          <w:ilvl w:val="0"/>
          <w:numId w:val="1007"/>
        </w:numPr>
      </w:pPr>
      <w:r>
        <w:t xml:space="preserve">SMPS CPSM handbook + FAQs — https://www.smps.org</w:t>
      </w:r>
    </w:p>
    <w:p>
      <w:pPr>
        <w:pStyle w:val="Compact"/>
        <w:numPr>
          <w:ilvl w:val="0"/>
          <w:numId w:val="1007"/>
        </w:numPr>
      </w:pPr>
      <w:r>
        <w:t xml:space="preserve">GovCon career guides (2026) — APMP/PMP/Shipley/CFCM demand signals</w:t>
      </w:r>
    </w:p>
    <w:p>
      <w:pPr>
        <w:pStyle w:val="FirstParagraph"/>
      </w:pPr>
      <w:r>
        <w:t xml:space="preserve">Repo sources cited (curriculum alignment):</w:t>
      </w:r>
      <w:r>
        <w:t xml:space="preserve"> </w:t>
      </w:r>
      <w:r>
        <w:rPr>
          <w:rStyle w:val="VerbatimChar"/>
        </w:rPr>
        <w:t xml:space="preserve">README.md</w:t>
      </w:r>
      <w:r>
        <w:t xml:space="preserve">,</w:t>
      </w:r>
      <w:r>
        <w:t xml:space="preserve"> </w:t>
      </w:r>
      <w:r>
        <w:rPr>
          <w:rStyle w:val="VerbatimChar"/>
        </w:rPr>
        <w:t xml:space="preserve">doctrine/01</w:t>
      </w:r>
      <w:r>
        <w:t xml:space="preserve">–</w:t>
      </w:r>
      <w:r>
        <w:rPr>
          <w:rStyle w:val="VerbatimChar"/>
        </w:rPr>
        <w:t xml:space="preserve">08</w:t>
      </w:r>
      <w:r>
        <w:t xml:space="preserve">,</w:t>
      </w:r>
      <w:r>
        <w:t xml:space="preserve"> </w:t>
      </w:r>
      <w:r>
        <w:rPr>
          <w:rStyle w:val="VerbatimChar"/>
        </w:rPr>
        <w:t xml:space="preserve">modules/shared-core.md</w:t>
      </w:r>
      <w:r>
        <w:t xml:space="preserve">,</w:t>
      </w:r>
      <w:r>
        <w:t xml:space="preserve"> </w:t>
      </w:r>
      <w:r>
        <w:rPr>
          <w:rStyle w:val="VerbatimChar"/>
        </w:rPr>
        <w:t xml:space="preserve">modules/mba.md</w:t>
      </w:r>
      <w:r>
        <w:t xml:space="preserve">,</w:t>
      </w:r>
      <w:r>
        <w:t xml:space="preserve"> </w:t>
      </w:r>
      <w:r>
        <w:rPr>
          <w:rStyle w:val="VerbatimChar"/>
        </w:rPr>
        <w:t xml:space="preserve">modules/strategic-initiative.md</w:t>
      </w:r>
      <w:r>
        <w:t xml:space="preserve">,</w:t>
      </w:r>
      <w:r>
        <w:t xml:space="preserve"> </w:t>
      </w:r>
      <w:r>
        <w:rPr>
          <w:rStyle w:val="VerbatimChar"/>
        </w:rPr>
        <w:t xml:space="preserve">course/assessments-and-rubric.md</w:t>
      </w:r>
      <w:r>
        <w:t xml:space="preserve">,</w:t>
      </w:r>
      <w:r>
        <w:t xml:space="preserve"> </w:t>
      </w:r>
      <w:r>
        <w:rPr>
          <w:rStyle w:val="VerbatimChar"/>
        </w:rPr>
        <w:t xml:space="preserve">course/capstone-build-an-orbital.md</w:t>
      </w:r>
      <w:r>
        <w:t xml:space="preserve">,</w:t>
      </w:r>
      <w:r>
        <w:t xml:space="preserve"> </w:t>
      </w:r>
      <w:r>
        <w:rPr>
          <w:rStyle w:val="VerbatimChar"/>
        </w:rPr>
        <w:t xml:space="preserve">align/concept-to-system-map.md</w:t>
      </w:r>
      <w:r>
        <w:t xml:space="preserve">,</w:t>
      </w:r>
      <w:r>
        <w:t xml:space="preserve"> </w:t>
      </w:r>
      <w:r>
        <w:rPr>
          <w:rStyle w:val="VerbatimChar"/>
        </w:rPr>
        <w:t xml:space="preserve">literacy/industry-standard-canon.md</w:t>
      </w:r>
      <w:r>
        <w:t xml:space="preserve"> </w:t>
      </w:r>
      <w:r>
        <w:t xml:space="preserve">(merged),</w:t>
      </w:r>
      <w:r>
        <w:t xml:space="preserve"> </w:t>
      </w:r>
      <w:r>
        <w:rPr>
          <w:rStyle w:val="VerbatimChar"/>
        </w:rPr>
        <w:t xml:space="preserve">case-study/ravonics.md</w:t>
      </w:r>
      <w:r>
        <w:t xml:space="preserve">. DNA licensing posture:</w:t>
      </w:r>
      <w:r>
        <w:t xml:space="preserve"> </w:t>
      </w:r>
      <w:r>
        <w:rPr>
          <w:rStyle w:val="VerbatimChar"/>
        </w:rPr>
        <w:t xml:space="preserve">DreamLimited/dna</w:t>
      </w:r>
      <w:r>
        <w:t xml:space="preserve"> </w:t>
      </w:r>
      <w:r>
        <w:t xml:space="preserve">→</w:t>
      </w:r>
      <w:r>
        <w:t xml:space="preserve"> </w:t>
      </w:r>
      <w:r>
        <w:rPr>
          <w:rStyle w:val="VerbatimChar"/>
        </w:rPr>
        <w:t xml:space="preserve">docs/licensing-shipley-corpus.md</w:t>
      </w:r>
      <w:r>
        <w:t xml:space="preserve">,</w:t>
      </w:r>
      <w:r>
        <w:t xml:space="preserve"> </w:t>
      </w:r>
      <w:r>
        <w:rPr>
          <w:rStyle w:val="VerbatimChar"/>
        </w:rPr>
        <w:t xml:space="preserve">docs/licensing-apmp-corpus.md</w:t>
      </w:r>
      <w:r>
        <w:t xml:space="preserve">.</w:t>
      </w:r>
    </w:p>
    <w:p>
      <w:r>
        <w:pict>
          <v:rect style="width:0;height:1.5pt" o:hralign="center" o:hrstd="t" o:hr="t"/>
        </w:pict>
      </w:r>
    </w:p>
    <w:p>
      <w:pPr>
        <w:pStyle w:val="FirstParagraph"/>
      </w:pPr>
      <w:r>
        <w:rPr>
          <w:i/>
          <w:iCs/>
        </w:rPr>
        <w:t xml:space="preserve">Bottom line: the curriculum is a strong conceptual foundation for the APMP/Shipley side of the credential map and a contextual introduction to the contracts and project-management sides. It is not, and cannot honestly claim to be, official preparation for any body’s exam without the body’s own materials and the candidate’s verifiable work experience. The named-canon posture keeps the bodies at the literacy layer — named, dated, and never taught as the point of the course.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755BBF35-5CBF-47D2-93AA-30FC92ED5491}"/>
</file>

<file path=customXml/itemProps2.xml><?xml version="1.0" encoding="utf-8"?>
<ds:datastoreItem xmlns:ds="http://schemas.openxmlformats.org/officeDocument/2006/customXml" ds:itemID="{4EEE7259-FED1-4D51-B852-55A15157ECC9}"/>
</file>

<file path=customXml/itemProps3.xml><?xml version="1.0" encoding="utf-8"?>
<ds:datastoreItem xmlns:ds="http://schemas.openxmlformats.org/officeDocument/2006/customXml" ds:itemID="{FC2C5591-A3F1-4462-88C9-642F61A52A7B}"/>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2026-08-05T17:25:39Z</dcterms:created>
  <dcterms:modified xsi:type="dcterms:W3CDTF">2026-08-05T17:25:39Z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