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assessment-to-competency-traceability"/>
    <w:p>
      <w:pPr>
        <w:pStyle w:val="Heading1"/>
      </w:pPr>
      <w:r>
        <w:t xml:space="preserve">Assessment-to-Competency Traceability</w:t>
      </w:r>
    </w:p>
    <w:p>
      <w:pPr>
        <w:pStyle w:val="FirstParagraph"/>
      </w:pPr>
      <w:r>
        <w:rPr>
          <w:i/>
          <w:iCs/>
        </w:rPr>
        <w:t xml:space="preserve">Working reference for the assessment layer of the Dream Pursuit Doctrine curriculum: which graded artifact exercises which competency-model domain, so a reviewer can see coverage and gaps at a glance. This is a design aid for the alignment and assessment efforts, not doctrine and not literacy; the reference layer (align/, research/) renders to dist/ so the Launchpad Sandbox remains the source of truth for ALL material.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Status:</w:t>
      </w:r>
      <w:r>
        <w:t xml:space="preserve"> </w:t>
      </w:r>
      <w:r>
        <w:t xml:space="preserve">Working reference (design aid).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Date:</w:t>
      </w:r>
      <w:r>
        <w:t xml:space="preserve"> </w:t>
      </w:r>
      <w:r>
        <w:t xml:space="preserve">2026-08-05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Branch:</w:t>
      </w:r>
      <w:r>
        <w:t xml:space="preserve"> </w:t>
      </w:r>
      <w:r>
        <w:rPr>
          <w:rStyle w:val="VerbatimChar"/>
        </w:rPr>
        <w:t xml:space="preserve">feat/launchpad-assessment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Companion:</w:t>
      </w:r>
      <w:r>
        <w:t xml:space="preserve"> </w:t>
      </w:r>
      <w:r>
        <w:rPr>
          <w:rStyle w:val="VerbatimChar"/>
        </w:rPr>
        <w:t xml:space="preserve">research/competency-model.md</w:t>
      </w:r>
      <w:r>
        <w:t xml:space="preserve"> </w:t>
      </w:r>
      <w:r>
        <w:t xml:space="preserve">(the domain taxonomy and per-level KSA statements this table maps against) and</w:t>
      </w:r>
      <w:r>
        <w:t xml:space="preserve"> </w:t>
      </w:r>
      <w:r>
        <w:rPr>
          <w:rStyle w:val="VerbatimChar"/>
        </w:rPr>
        <w:t xml:space="preserve">course/assessments-and-rubric.md</w:t>
      </w:r>
      <w:r>
        <w:t xml:space="preserve"> </w:t>
      </w:r>
      <w:r>
        <w:t xml:space="preserve">(the grading contract the artifacts live in).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Domain key:</w:t>
      </w:r>
      <w:r>
        <w:t xml:space="preserve"> </w:t>
      </w:r>
      <w:r>
        <w:t xml:space="preserve">D1 Market Intelligence · D2 Capture Strategy · D3 Proposal Development · D4 Pricing &amp; Finance · D5 Contracts &amp; Compliance · D6 Teaming &amp; Partnerships · D7 Leadership, Governance &amp; Ethics · D8 Data &amp; Analytics. KSA numbers refer to the per-level statement rows in</w:t>
      </w:r>
      <w:r>
        <w:t xml:space="preserve"> </w:t>
      </w:r>
      <w:r>
        <w:rPr>
          <w:rStyle w:val="VerbatimChar"/>
        </w:rPr>
        <w:t xml:space="preserve">research/competency-model.md</w:t>
      </w:r>
      <w:r>
        <w:t xml:space="preserve"> </w:t>
      </w:r>
      <w:r>
        <w:t xml:space="preserve">§2.</w:t>
      </w:r>
    </w:p>
    <w:bookmarkStart w:id="20" w:name="how-to-read-this-table"/>
    <w:p>
      <w:pPr>
        <w:pStyle w:val="Heading2"/>
      </w:pPr>
      <w:r>
        <w:t xml:space="preserve">How to read this table</w:t>
      </w:r>
    </w:p>
    <w:p>
      <w:pPr>
        <w:pStyle w:val="FirstParagraph"/>
      </w:pPr>
      <w:r>
        <w:t xml:space="preserve">Each row is a graded artifact in the shared course contract (</w:t>
      </w:r>
      <w:r>
        <w:rPr>
          <w:rStyle w:val="VerbatimChar"/>
        </w:rPr>
        <w:t xml:space="preserve">course/assessments-and-rubric.md</w:t>
      </w:r>
      <w:r>
        <w:t xml:space="preserve">, the capstone brief in</w:t>
      </w:r>
      <w:r>
        <w:t xml:space="preserve"> </w:t>
      </w:r>
      <w:r>
        <w:rPr>
          <w:rStyle w:val="VerbatimChar"/>
        </w:rPr>
        <w:t xml:space="preserve">course/capstone-build-an-orbital.md</w:t>
      </w:r>
      <w:r>
        <w:t xml:space="preserve">, or the 300-level electives that inherit the shared rubric). The domain column shows which of the eight competency domains the artifact meaningfully exercises; the KSA column names the specific statements from the competency model that the artifact produces first evidence for.</w:t>
      </w:r>
      <w:r>
        <w:t xml:space="preserve"> </w:t>
      </w:r>
      <w:r>
        <w:t xml:space="preserve">“</w:t>
      </w:r>
      <w:r>
        <w:t xml:space="preserve">Coverage note</w:t>
      </w:r>
      <w:r>
        <w:t xml:space="preserve">”</w:t>
      </w:r>
      <w:r>
        <w:t xml:space="preserve"> </w:t>
      </w:r>
      <w:r>
        <w:t xml:space="preserve">flags where the artifact is the primary (or only) evidence for a domain, and where a stated competency remains a gap.</w:t>
      </w:r>
    </w:p>
    <w:bookmarkEnd w:id="20"/>
    <w:bookmarkStart w:id="21" w:name="coverage-table"/>
    <w:p>
      <w:pPr>
        <w:pStyle w:val="Heading2"/>
      </w:pPr>
      <w:r>
        <w:t xml:space="preserve">Coverage table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Assessment artifact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Layer / course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Competency domains (D1–D8)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KSA statements exercised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Coverage note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Money map of one agency (Week 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Layer 1 — weekly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D1.1, D1.2, D1.4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Strong D1 foundation; the market-intelligence brief variant (competency-model §4B.1) would deepen D1.5/D8.3.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One-page pipeline diagram (Week 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Layer 1 — weekly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D2.1, D2.2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Pipeline shape and gate placement at concept altitude.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Gate charter for one pursuit (Week 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Layer 1 — weekly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D2, D7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D2.2, D7.1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Four-part gate design; the SI track deepens gate</w:t>
            </w:r>
            <w:r>
              <w:t xml:space="preserve"> </w:t>
            </w:r>
            <w:r>
              <w:rPr>
                <w:i/>
                <w:iCs/>
              </w:rPr>
              <w:t xml:space="preserve">design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Compliance matrix from a real RFP (Week 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Layer 1 — weekly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D3, D5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D3.2, D5.2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backbone artifact; feeds capstone solicitation mastery.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Strategy reading of a NOFO (Week 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Layer 1 — weekly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D1, D3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D3.3, D3.4, D1.1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Compliance vs. strategy passes; Section L/M literacy.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One-page ORBITAL (Week 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Layer 1 — weekly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D2, D4, D6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D2.3, D4.1, D6.2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Seven-axis structure; the only shared-layer touch of D6.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Scored pursuit sheet with a bid/no-bid recommendation (Week 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Layer 1 — weekly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D4, D8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D4.1, D8.1, D2.3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factor breakdown (Evidence) is the assessed skill.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Section-K reps/certs register (new)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Assessment bank — slots into any layer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D5, D3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D5.5, D5.2, D3.2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Primary evidence for D5.5; closes a previously partial competency.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Ethics scenario — OCI / unallowable cost / past performance (new)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Assessment bank — slots into midterm or capstone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D7, D5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D7.2, D5.4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Primary scenario-based evidence for D7.2/D5.4; exercises the</w:t>
            </w:r>
            <w:r>
              <w:t xml:space="preserve"> </w:t>
            </w:r>
            <w:r>
              <w:t xml:space="preserve">“</w:t>
            </w:r>
            <w:r>
              <w:t xml:space="preserve">two halves of one system</w:t>
            </w:r>
            <w:r>
              <w:t xml:space="preserve">”</w:t>
            </w:r>
            <w:r>
              <w:t xml:space="preserve"> </w:t>
            </w:r>
            <w:r>
              <w:t xml:space="preserve">frame.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Midterm — real NOFO breakdown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Layer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D1, D3, D4, D5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D3.1, D3.3, D3.4, D4.5, D5.1, D5.2, D1.1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Tests reading, not recall; the Bachelor’s core (per competency-model §4A).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Capstone — solicitation mastery (compliance matrix + strategy reading)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Layer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D3, D5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D3.1, D3.2, D3.3, D5.2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Full-depth D3/D5 evidence at team scale.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Capstone — ORBITAL quality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Layer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D2, D4, D6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D2.3, D4.1, D6.2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Seven axes with sourced content; budget and indicators argued.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Capstone — score and bid/no-bid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Layer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D4, D8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D4.1, D8.1, D8.2, D2.3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Evidence test at full weight; pWin argued factor-by-factor.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Capstone — governance and gates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Layer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D7.1, D7.4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Gate ladder with written criteria and named owners.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Capstone — presentation and defense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Layer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D7, D8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D7.4, D8.1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Survives a hostile board; Evidence under questioning.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Capstone post-mortem (ungraded)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Layer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D8.4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Optional by design; competency-model §4C.4 proposes promoting it to a graded retrospective.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Participation and peer review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Layer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D7, D6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D7.2, D6.4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Professional conduct and honest peer review as D7 evidence.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Shared rubric —</w:t>
            </w:r>
            <w:r>
              <w:t xml:space="preserve"> </w:t>
            </w:r>
            <w:r>
              <w:rPr>
                <w:b/>
                <w:bCs/>
              </w:rPr>
              <w:t xml:space="preserve">Evidence criterion (new)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layers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D8, D2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D8.1, D8.2, D2.3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Cross-cutting; enforces evidentiary quality on every graded artifact.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Shared rubric — Correctness / Completeness / Doctrine use / Clarity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layers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D2, D3, D7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D2.2, D3.2, D7.2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 use criterion tests the D7/D2 gate and pipeline vocabulary.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DL 301 law-and-compliance review (midterm clause hunt + final review)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Elective (course/undergraduate-301-*.md)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D5, D7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D5.1, D5.2, D5.4, D7.2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rule layer at elective depth; complements the ethics scenario.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DL 302 proposal production (matrix, outline, volumes, color teams, final package)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Elective (course/undergraduate-302-*.md)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D3, D5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D3.2, D3.5, D3.6, D5.2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Production craft evidence; the closest the curriculum comes to writing/color-team practice.</w:t>
            </w:r>
          </w:p>
        </w:tc>
      </w:tr>
    </w:tbl>
    <w:bookmarkEnd w:id="21"/>
    <w:bookmarkStart w:id="22" w:name="what-the-mapping-shows"/>
    <w:p>
      <w:pPr>
        <w:pStyle w:val="Heading2"/>
      </w:pPr>
      <w:r>
        <w:t xml:space="preserve">What the mapping shows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D1, D3, D4, D7 are strongly covered</w:t>
      </w:r>
      <w:r>
        <w:t xml:space="preserve"> </w:t>
      </w:r>
      <w:r>
        <w:t xml:space="preserve">by the shared layers: market literacy, solicitation reading, scoring/budget, and governance/ethics each have multiple artifacts and at least one primary assessment.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D5 was the weakest shared-layer domain and is now strengthened</w:t>
      </w:r>
      <w:r>
        <w:t xml:space="preserve">: the Section-K register produces the first primary evidence for D5.5, and the ethics scenario produces scenario-based evidence for D5.4. The OCI, data-rights, NIST, and size-standard competencies the competency model flags (D5.6, D5.7) remain gaps at the shared layer — they live in the DL 301 elective and the DNA canon.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D8 is partial</w:t>
      </w:r>
      <w:r>
        <w:t xml:space="preserve">: the scored sheet and the capstone score exercise D8.1/D8.2 (and the new Evidence criterion enforces them), but a graded win/loss retrospective (D8.4) and the §4E.3 data-literacy checkpoint are still outstanding.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D6 is the thinnest shared-layer domain</w:t>
      </w:r>
      <w:r>
        <w:t xml:space="preserve">: only the one-page ORBITAL (D6.2) and participation touch it. Teaming-posture choice, partner rubrics, and agreements (D6.4, D6.5) remain elective/graduate territory, exactly as the competency model’s §3 gap rows predict.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D2’s capture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craft</w:t>
      </w:r>
      <w:r>
        <w:rPr>
          <w:b/>
          <w:bCs/>
        </w:rPr>
        <w:t xml:space="preserve"> </w:t>
      </w:r>
      <w:r>
        <w:rPr>
          <w:b/>
          <w:bCs/>
        </w:rPr>
        <w:t xml:space="preserve">— win themes, discriminators, ghost themes, engagement cadence — is now exercised end-to-end at the Master’s level</w:t>
      </w:r>
      <w:r>
        <w:t xml:space="preserve"> </w:t>
      </w:r>
      <w:r>
        <w:t xml:space="preserve">(competency-model §3D finding 1). The GC 690 capstone includes a complete capture plan — customer map, competitive landscape, incumbent analysis, discriminators and themes — and GE 630/GE 640 teach the strategy and production halves. The residual gap is the</w:t>
      </w:r>
      <w:r>
        <w:t xml:space="preserve"> </w:t>
      </w:r>
      <w:r>
        <w:rPr>
          <w:i/>
          <w:iCs/>
        </w:rPr>
        <w:t xml:space="preserve">engagement-cadence</w:t>
      </w:r>
      <w:r>
        <w:t xml:space="preserve"> </w:t>
      </w:r>
      <w:r>
        <w:t xml:space="preserve">side: logging a full customer-engagement cadence as standalone graded evidence remains the on-the-job refinement layer, not a structural absence.</w:t>
      </w:r>
    </w:p>
    <w:p>
      <w:pPr>
        <w:pStyle w:val="FirstParagraph"/>
      </w:pPr>
      <w:r>
        <w:rPr>
          <w:i/>
          <w:iCs/>
        </w:rPr>
        <w:t xml:space="preserve">End of traceability reference. The actionable output is the gap rows above: D6 teaming remains the thinnest shared-layer domain, and D2’s full engagement-cadence logging remains on-the-job — both refinement gaps at shared-course depth, not structural absences.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81E1DF8C-9B4B-4414-9C0E-46ED10E1030E}"/>
</file>

<file path=customXml/itemProps2.xml><?xml version="1.0" encoding="utf-8"?>
<ds:datastoreItem xmlns:ds="http://schemas.openxmlformats.org/officeDocument/2006/customXml" ds:itemID="{3A75073B-262A-4608-968F-EB75E8E43B13}"/>
</file>

<file path=customXml/itemProps3.xml><?xml version="1.0" encoding="utf-8"?>
<ds:datastoreItem xmlns:ds="http://schemas.openxmlformats.org/officeDocument/2006/customXml" ds:itemID="{BE1447C2-155C-43CC-A6BF-707F6B588C65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2026-08-05T19:47:37Z</dcterms:created>
  <dcterms:modified xsi:type="dcterms:W3CDTF">2026-08-05T19:47:37Z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