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94af2bcf842aa5d3c8e95357abc148157290a9d"/>
    <w:p>
      <w:pPr>
        <w:pStyle w:val="Heading1"/>
      </w:pPr>
      <w:r>
        <w:t xml:space="preserve">Shipley Book / Discipline Canon → Curriculum Map</w:t>
      </w:r>
    </w:p>
    <w:p>
      <w:pPr>
        <w:pStyle w:val="FirstParagraph"/>
      </w:pPr>
      <w:r>
        <w:rPr>
          <w:i/>
          <w:iCs/>
        </w:rPr>
        <w:t xml:space="preserve">The authoritative-source index: for every Shipley/APMP book and discipline, where the curriculum teaches the concept and where the machine encodes it — so a student can go from</w:t>
      </w:r>
      <w:r>
        <w:rPr>
          <w:i/>
          <w:iCs/>
        </w:rP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curriculum concept</w:t>
      </w:r>
      <w:r>
        <w:rPr>
          <w:i/>
          <w:iCs/>
        </w:rPr>
        <w:t xml:space="preserve">”</w:t>
      </w:r>
      <w:r>
        <w:rPr>
          <w:i/>
          <w:iCs/>
        </w:rPr>
        <w:t xml:space="preserve"> </w:t>
      </w:r>
      <w:r>
        <w:rPr>
          <w:i/>
          <w:iCs/>
        </w:rPr>
        <w:t xml:space="preserve">to</w:t>
      </w:r>
      <w:r>
        <w:rPr>
          <w:i/>
          <w:iCs/>
        </w:rP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read the authoritative source,</w:t>
      </w:r>
      <w:r>
        <w:rPr>
          <w:i/>
          <w:iCs/>
        </w:rPr>
        <w:t xml:space="preserve">”</w:t>
      </w:r>
      <w:r>
        <w:rPr>
          <w:i/>
          <w:iCs/>
        </w:rPr>
        <w:t xml:space="preserve"> </w:t>
      </w:r>
      <w:r>
        <w:rPr>
          <w:i/>
          <w:iCs/>
        </w:rPr>
        <w:t xml:space="preserve">and an integrator can see the one canon behind both renderings.</w:t>
      </w:r>
    </w:p>
    <w:p>
      <w:pPr>
        <w:pStyle w:val="BlockText"/>
      </w:pPr>
      <w:r>
        <w:rPr>
          <w:b/>
          <w:bCs/>
        </w:rPr>
        <w:t xml:space="preserve">License note.</w:t>
      </w:r>
      <w:r>
        <w:t xml:space="preserve"> </w:t>
      </w:r>
      <w:r>
        <w:t xml:space="preserve">Shipley and APMP publications are commercial, copyrighted works. The Dream DNA corpus paraphrases them in DreamLimited’s operating vocabulary (see</w:t>
      </w:r>
      <w:r>
        <w:t xml:space="preserve"> </w:t>
      </w:r>
      <w:r>
        <w:rPr>
          <w:rStyle w:val="VerbatimChar"/>
        </w:rPr>
        <w:t xml:space="preserve">docs/licensing-shipley-corpus.md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docs/licensing-apmp-corpus.md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DreamLimited/dna</w:t>
      </w:r>
      <w:r>
        <w:t xml:space="preserve">); it does not reproduce them verbatim. This page points students at the</w:t>
      </w:r>
      <w:r>
        <w:t xml:space="preserve"> </w:t>
      </w:r>
      <w:r>
        <w:rPr>
          <w:i/>
          <w:iCs/>
        </w:rPr>
        <w:t xml:space="preserve">original</w:t>
      </w:r>
      <w:r>
        <w:t xml:space="preserve"> </w:t>
      </w:r>
      <w:r>
        <w:t xml:space="preserve">authoritative sources for reading — it does not substitute for them.</w:t>
      </w:r>
    </w:p>
    <w:bookmarkStart w:id="20" w:name="how-to-read-this-page"/>
    <w:p>
      <w:pPr>
        <w:pStyle w:val="Heading2"/>
      </w:pPr>
      <w:r>
        <w:t xml:space="preserve">How to read this page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A — the Shipley canon.</w:t>
      </w:r>
      <w:r>
        <w:t xml:space="preserve"> </w:t>
      </w:r>
      <w:r>
        <w:t xml:space="preserve">The five Shipley Associates publications/disciplines, what each covers, the curriculum home, the DNA encoding, and the stack-agnostic concept.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B — the APMP canon.</w:t>
      </w:r>
      <w:r>
        <w:t xml:space="preserve"> </w:t>
      </w:r>
      <w:r>
        <w:t xml:space="preserve">The APMP Body of Knowledge and the process standards, plus the certification ladder.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C — the discipline-to-source map.</w:t>
      </w:r>
      <w:r>
        <w:t xml:space="preserve"> </w:t>
      </w:r>
      <w:r>
        <w:t xml:space="preserve">A one-glance table: curriculum concept → authoritative source.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 D — citation honesty.</w:t>
      </w:r>
      <w:r>
        <w:t xml:space="preserve"> </w:t>
      </w:r>
      <w:r>
        <w:t xml:space="preserve">What is cited where, and the licensing rule.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40" w:name="part-a-the-shipley-canon"/>
    <w:p>
      <w:pPr>
        <w:pStyle w:val="Heading1"/>
      </w:pPr>
      <w:r>
        <w:t xml:space="preserve">Part A — The Shipley canon</w:t>
      </w:r>
    </w:p>
    <w:p>
      <w:pPr>
        <w:pStyle w:val="FirstParagraph"/>
      </w:pPr>
      <w:r>
        <w:t xml:space="preserve">Shipley Associates has been teaching its capture-and-proposal method since the 1970s and gave the profession most of its shared vocabulary — capture plans, win themes, discriminators, ghost themes, color teams, the compliance matrix. The DNA corpus carries a paraphrase of the method (see</w:t>
      </w:r>
      <w:r>
        <w:t xml:space="preserve"> </w:t>
      </w:r>
      <w:r>
        <w:rPr>
          <w:rStyle w:val="VerbatimChar"/>
        </w:rPr>
        <w:t xml:space="preserve">[shipley-dna-fusion-map.md](shipley-dna-fusion-map.md)</w:t>
      </w:r>
      <w:r>
        <w:t xml:space="preserve"> </w:t>
      </w:r>
      <w:r>
        <w:t xml:space="preserve">Part A), and this curriculum teaches the same concepts at doctrine altitude.</w:t>
      </w:r>
    </w:p>
    <w:bookmarkStart w:id="27" w:name="X5ea96e5ca83d841c8a68de9b09e7552be78f12e"/>
    <w:p>
      <w:pPr>
        <w:pStyle w:val="Heading2"/>
      </w:pPr>
      <w:r>
        <w:t xml:space="preserve">A.1 The Shipley Business Development Lifecycle / Business Development Process Guide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Canon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encoding (v0.18.2)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Business Development Process Guide</w:t>
            </w:r>
            <w:r>
              <w:t xml:space="preserve"> </w:t>
            </w:r>
            <w:r>
              <w:t xml:space="preserve">(Shipley’s BD lifecycle — the five-phase marketing → capture → proposal → negotiate → award arc, formalized as a 7-gate/7-phase process)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whole business-development arc: market segmentation, long-term positioning, opportunity assessment, capture/opportunity planning, proposal planning, proposal development, post-submittal activities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(the BD lifecycle mapped onto the course);</w:t>
            </w:r>
            <w:r>
              <w:t xml:space="preserve"> </w:t>
            </w:r>
            <w:hyperlink r:id="rId23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;</w:t>
            </w:r>
            <w:r>
              <w:t xml:space="preserve"> </w:t>
            </w:r>
            <w:hyperlink r:id="rId24">
              <w:r>
                <w:rPr>
                  <w:rStyle w:val="Hyperlink"/>
                </w:rPr>
                <w:t xml:space="preserve">modules/shared-core.md</w:t>
              </w:r>
            </w:hyperlink>
            <w:r>
              <w:t xml:space="preserve"> </w:t>
            </w:r>
            <w:r>
              <w:t xml:space="preserve">Session 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 </w:t>
            </w:r>
            <w:r>
              <w:t xml:space="preserve">(the 7-gate registry),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 </w:t>
            </w:r>
            <w:r>
              <w:t xml:space="preserve">(gates 1–4),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playbooks/shipley-proposal.md</w:t>
            </w:r>
            <w:r>
              <w:t xml:space="preserve"> </w:t>
            </w:r>
            <w:r>
              <w:t xml:space="preserve">(gates 5–7),</w:t>
            </w:r>
            <w:r>
              <w:t xml:space="preserve"> </w:t>
            </w:r>
            <w:r>
              <w:rPr>
                <w:rStyle w:val="VerbatimChar"/>
              </w:rPr>
              <w:t xml:space="preserve">playbooks/pipeline-doctrine.md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seven-gate review ladder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decision checkpoints with entry/exit criteria: market → opportunity → pursuit → capture readiness → proposal → submission → post-submission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doctrine/04-gates-and-governance.md</w:t>
              </w:r>
            </w:hyperlink>
            <w:r>
              <w:t xml:space="preserve">;</w:t>
            </w:r>
            <w:r>
              <w:t xml:space="preserve"> </w:t>
            </w: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(the 7-gate ladder);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course/undergraduate-210-capture-and-pursuit-pipeline.md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</w:p>
        </w:tc>
      </w:tr>
    </w:tbl>
    <w:bookmarkEnd w:id="27"/>
    <w:bookmarkStart w:id="30" w:name="a.2-shipley-capture-guide"/>
    <w:p>
      <w:pPr>
        <w:pStyle w:val="Heading2"/>
      </w:pPr>
      <w:r>
        <w:t xml:space="preserve">A.2 Shipley Capture Guide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Canon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encoding (v0.18.2)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Capture Guide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capture discipline: the capture window, opportunity assessment, the capture plan, customer engagement, discriminators vs. baselines, ghost themes, the capture readiness review, bid/no-bid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(the entire chapter);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 </w:t>
            </w:r>
            <w:r>
              <w:t xml:space="preserve">(GE 630)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rules/bid-no-bid.yaml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rules/teaming.yaml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rules/incumbent-displacement.yaml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playbooks/01-pre-rfp.md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formulas/capture-readiness-index.formula.yaml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formulas/bid-no-bid-rubric.formula.yaml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formulas/pwin-shipley.formula.yaml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prompts/personas/capture-manager.md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Capture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written declaration of how the pursuit will be won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 </w:t>
            </w:r>
            <w:r>
              <w:t xml:space="preserve">(capture-plan section)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 </w:t>
            </w:r>
            <w:r>
              <w:t xml:space="preserve">(win-strategy phase),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  <w:r>
              <w:t xml:space="preserve"> </w:t>
            </w:r>
            <w:r>
              <w:t xml:space="preserve">(phase map)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Win themes / discriminators / ghost themes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differentiation vocabulary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doctrine/09-capture-and-competitive-strategy.md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rag-corpus/shipley-capture-proposal-guide/shipley-customer-centric-framing.md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shipley-discriminators-vs-baselines.md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shipley-ghost-themes.md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prompts/personas/discriminator-analyst.md</w:t>
            </w:r>
          </w:p>
        </w:tc>
      </w:tr>
    </w:tbl>
    <w:bookmarkEnd w:id="30"/>
    <w:bookmarkStart w:id="36" w:name="a.3-shipley-proposal-guide"/>
    <w:p>
      <w:pPr>
        <w:pStyle w:val="Heading2"/>
      </w:pPr>
      <w:r>
        <w:t xml:space="preserve">A.3 Shipley Proposal Guide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Canon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encoding (v0.18.2)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Proposal Guide</w:t>
            </w:r>
            <w:r>
              <w:t xml:space="preserve"> </w:t>
            </w:r>
            <w:r>
              <w:t xml:space="preserve">(the classic</w:t>
            </w:r>
            <w:r>
              <w:t xml:space="preserve"> </w:t>
            </w:r>
            <w:r>
              <w:t xml:space="preserve">“</w:t>
            </w:r>
            <w:r>
              <w:t xml:space="preserve">red book,</w:t>
            </w:r>
            <w:r>
              <w:t xml:space="preserve">”</w:t>
            </w:r>
            <w:r>
              <w:t xml:space="preserve"> </w:t>
            </w:r>
            <w:r>
              <w:t xml:space="preserve">authored by Larry Newman; selected as a primary reference for the APMP Foundation exam)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production discipline: strategy, customer focus, outlining, storyboards, reviews, compliance, submission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23">
              <w:r>
                <w:rPr>
                  <w:rStyle w:val="Hyperlink"/>
                </w:rPr>
                <w:t xml:space="preserve">doctrine/03-the-pursuit-pipeline.md</w:t>
              </w:r>
            </w:hyperlink>
            <w:r>
              <w:t xml:space="preserve"> </w:t>
            </w:r>
            <w:r>
              <w:t xml:space="preserve">(design/audit/submit);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 </w:t>
            </w:r>
            <w:r>
              <w:t xml:space="preserve">(GE 640);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course/undergraduate-302-proposal-production-and-compliance.md</w:t>
              </w:r>
            </w:hyperlink>
            <w:r>
              <w:t xml:space="preserve"> </w:t>
            </w:r>
            <w:r>
              <w:t xml:space="preserve">(DL 302)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playbooks/shipley-proposal.md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playbooks/02-rfp-decode.md</w:t>
            </w:r>
            <w:r>
              <w:t xml:space="preserve"> </w:t>
            </w:r>
            <w:r>
              <w:t xml:space="preserve">…</w:t>
            </w:r>
            <w:r>
              <w:t xml:space="preserve"> </w:t>
            </w:r>
            <w:r>
              <w:rPr>
                <w:rStyle w:val="VerbatimChar"/>
              </w:rPr>
              <w:t xml:space="preserve">04-proposal-production.md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rules/color-team.yaml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rules/submission.yaml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rules/section-l-format-compliance.yaml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formulas/compliance_parser.py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formulas/quality_gate.py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prompts/personas/proposal-manager.md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Color-team review 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Pink → Red → Gold → White-Glove review discipline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literacy/how-color-teams-work.md</w:t>
              </w:r>
            </w:hyperlink>
            <w:r>
              <w:t xml:space="preserve">;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rules/color-team.yaml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rules/apmp-color-teams.yaml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prompts/critics/*.md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rag-corpus/shipley-capture-proposal-guide/shipley-color-team-cadence.md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spine of a compliant, persuasive proposal</w:t>
            </w:r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doctrine/02-rfps-and-solicitations.md</w:t>
              </w:r>
            </w:hyperlink>
            <w:r>
              <w:t xml:space="preserve">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playbooks/compliance-matrix/compliance-matrix.yaml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playbooks/apmp/apmp-compliance-matrix.md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rag-corpus/shipley-capture-proposal-guide/shipley-compliance-spine.md</w:t>
            </w:r>
          </w:p>
        </w:tc>
      </w:tr>
    </w:tbl>
    <w:bookmarkEnd w:id="36"/>
    <w:bookmarkStart w:id="38" w:name="a.4-winning-business"/>
    <w:p>
      <w:pPr>
        <w:pStyle w:val="Heading2"/>
      </w:pPr>
      <w:r>
        <w:t xml:space="preserve">A.4 Winning Business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Canon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encoding (v0.18.2)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Winning Business</w:t>
            </w:r>
            <w:r>
              <w:t xml:space="preserve"> </w:t>
            </w:r>
            <w:r>
              <w:t xml:space="preserve">(Shipley’s integrated methodology/workshop brand — the complete set of the above guides used together)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positioning across the whole BD lifecycle: how a firm wins business in the government market, methodically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(the canon as one system);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modules/strategic-initiative.md</w:t>
              </w:r>
            </w:hyperlink>
            <w:r>
              <w:t xml:space="preserve"> </w:t>
            </w:r>
            <w:r>
              <w:t xml:space="preserve">(the doctrine as an operating system);</w:t>
            </w:r>
            <w:r>
              <w:t xml:space="preserve"> </w:t>
            </w:r>
            <w:hyperlink r:id="rId24">
              <w:r>
                <w:rPr>
                  <w:rStyle w:val="Hyperlink"/>
                </w:rPr>
                <w:t xml:space="preserve">modules/shared-core.md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DNA corpus as a whole is the machine encoding of the integrated method:</w:t>
            </w:r>
            <w:r>
              <w:t xml:space="preserve"> </w:t>
            </w:r>
            <w:r>
              <w:rPr>
                <w:rStyle w:val="VerbatimChar"/>
              </w:rPr>
              <w:t xml:space="preserve">rules/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</w:t>
            </w:r>
            <w:r>
              <w:t xml:space="preserve"> </w:t>
            </w:r>
            <w:r>
              <w:t xml:space="preserve">composed by</w:t>
            </w:r>
            <w:r>
              <w:t xml:space="preserve"> </w:t>
            </w:r>
            <w:r>
              <w:rPr>
                <w:rStyle w:val="VerbatimChar"/>
              </w:rPr>
              <w:t xml:space="preserve">playbooks/dream-sequence/autonomous-capture-dream-sequence.yaml</w:t>
            </w:r>
          </w:p>
        </w:tc>
      </w:tr>
    </w:tbl>
    <w:bookmarkEnd w:id="38"/>
    <w:bookmarkStart w:id="39" w:name="X232c0bfb752ab1e926f101e32f44d12762cb5b3"/>
    <w:p>
      <w:pPr>
        <w:pStyle w:val="Heading2"/>
      </w:pPr>
      <w:r>
        <w:t xml:space="preserve">A.5 Pre-Written Sections (Shipley’s proposal content library)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Canon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encoding (v0.18.2)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Pre-Written Sections</w:t>
            </w:r>
            <w:r>
              <w:t xml:space="preserve"> </w:t>
            </w:r>
            <w:r>
              <w:t xml:space="preserve">(Shipley’s library of pre-approved, reusable proposal content modules)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 management: centrally curated, reusable proposal sections (executive summaries, past performance, methodology, case studies) to cut production time and keep voice/formatting consistent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 </w:t>
            </w:r>
            <w:r>
              <w:t xml:space="preserve">(GE 640 — production system);</w:t>
            </w:r>
            <w:r>
              <w:t xml:space="preserve"> </w:t>
            </w: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playbooks/volumes/*.yaml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playbooks/documents/*.yaml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playbooks/pricing/*.yaml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playbooks/sbir-proposals/_base.md</w:t>
            </w:r>
            <w:r>
              <w:t xml:space="preserve"> </w:t>
            </w:r>
            <w:r>
              <w:t xml:space="preserve">(the reusable structural templates);</w:t>
            </w:r>
            <w:r>
              <w:t xml:space="preserve"> </w:t>
            </w:r>
            <w:r>
              <w:rPr>
                <w:rStyle w:val="VerbatimChar"/>
              </w:rPr>
              <w:t xml:space="preserve">rag-corpus/dreamlimited-past-performance/</w:t>
            </w:r>
            <w:r>
              <w:t xml:space="preserve"> </w:t>
            </w:r>
            <w:r>
              <w:t xml:space="preserve">(DreamLimited’s own reusable PP content)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9"/>
    <w:bookmarkEnd w:id="40"/>
    <w:bookmarkStart w:id="46" w:name="part-b-the-apmp-canon"/>
    <w:p>
      <w:pPr>
        <w:pStyle w:val="Heading1"/>
      </w:pPr>
      <w:r>
        <w:t xml:space="preserve">Part B — The APMP canon</w:t>
      </w:r>
    </w:p>
    <w:bookmarkStart w:id="42" w:name="X7f6b365bbf968050d8479b02d3e97e75330b00f"/>
    <w:p>
      <w:pPr>
        <w:pStyle w:val="Heading2"/>
      </w:pPr>
      <w:r>
        <w:t xml:space="preserve">B.1 The Body of Knowledge and process standards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Canon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covers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encoding (v0.18.2)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Body of Knowledge (BOK)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reference standard and shared framework/terminology of the bid, proposal, and capture profession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(the canon, named);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;</w:t>
            </w:r>
            <w:r>
              <w:t xml:space="preserve"> </w:t>
            </w:r>
            <w:hyperlink r:id="rId41">
              <w:r>
                <w:rPr>
                  <w:rStyle w:val="Hyperlink"/>
                </w:rPr>
                <w:t xml:space="preserve">research/competency-model.md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rag-corpus/apmp-bok/</w:t>
            </w:r>
            <w:r>
              <w:t xml:space="preserve"> </w:t>
            </w:r>
            <w:r>
              <w:t xml:space="preserve">(8 chunks),</w:t>
            </w:r>
            <w:r>
              <w:t xml:space="preserve"> </w:t>
            </w:r>
            <w:r>
              <w:rPr>
                <w:rStyle w:val="VerbatimChar"/>
              </w:rPr>
              <w:t xml:space="preserve">playbooks/apmp/*</w:t>
            </w:r>
            <w:r>
              <w:t xml:space="preserve"> </w:t>
            </w:r>
            <w:r>
              <w:t xml:space="preserve">(5 playbooks),</w:t>
            </w:r>
            <w:r>
              <w:t xml:space="preserve"> </w:t>
            </w:r>
            <w:r>
              <w:rPr>
                <w:rStyle w:val="VerbatimChar"/>
              </w:rPr>
              <w:t xml:space="preserve">rules/apmp-color-teams.yaml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rag-corpus/apmp-references.md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Proposal Process 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Process-focused guidance on the proposal lifecycle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playbooks/apmp/apmp-proposal-flow.md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Capture Process 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Capture-focused guidance</w:t>
            </w:r>
          </w:p>
        </w:tc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  <w:r>
              <w:t xml:space="preserve">;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doctrine/09-capture-and-competitive-strategy.md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playbooks/shipley-capture.md</w:t>
            </w:r>
          </w:p>
        </w:tc>
      </w:tr>
    </w:tbl>
    <w:bookmarkEnd w:id="42"/>
    <w:bookmarkStart w:id="45" w:name="b.2-the-certification-ladder"/>
    <w:p>
      <w:pPr>
        <w:pStyle w:val="Heading2"/>
      </w:pPr>
      <w:r>
        <w:t xml:space="preserve">B.2 The certification ladder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Certification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certifies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home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Entry-level knowledge of the discipline, assessed against the BOK (Shipley Proposal Guide is a primary reference)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  <w:r>
              <w:t xml:space="preserve"> </w:t>
            </w:r>
            <w:r>
              <w:t xml:space="preserve">(certification landscape);</w:t>
            </w:r>
            <w:r>
              <w:t xml:space="preserve"> </w:t>
            </w:r>
            <w:hyperlink r:id="rId43">
              <w:r>
                <w:rPr>
                  <w:rStyle w:val="Hyperlink"/>
                </w:rPr>
                <w:t xml:space="preserve">research/credential-mapping.md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Practitioner / Capture Practitioner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Applied mastery of proposal / capture work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  <w:r>
              <w:t xml:space="preserve">;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modules/graduate/elective-competitive-market-intelligence.md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APMP Professional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credential: demonstrated leadership + measurable impact</w:t>
            </w:r>
          </w:p>
        </w:tc>
        <w:tc>
          <w:tcPr/>
          <w:p>
            <w:pPr>
              <w:pStyle w:val="Compact"/>
              <w:jc w:val="left"/>
            </w:pPr>
            <w:hyperlink r:id="rId44">
              <w:r>
                <w:rPr>
                  <w:rStyle w:val="Hyperlink"/>
                </w:rPr>
                <w:t xml:space="preserve">modules/doctoral/research-agenda.md</w:t>
              </w:r>
            </w:hyperlink>
            <w:r>
              <w:t xml:space="preserve">;</w:t>
            </w:r>
            <w:r>
              <w:t xml:space="preserve"> </w:t>
            </w:r>
            <w:hyperlink r:id="rId37">
              <w:r>
                <w:rPr>
                  <w:rStyle w:val="Hyperlink"/>
                </w:rPr>
                <w:t xml:space="preserve">modules/strategic-initiative.md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certification (star-based, APMP-accredited)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 application of Shipley’s method in real work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</w:p>
        </w:tc>
      </w:tr>
    </w:tbl>
    <w:p>
      <w:r>
        <w:pict>
          <v:rect style="width:0;height:1.5pt" o:hralign="center" o:hrstd="t" o:hr="t"/>
        </w:pict>
      </w:r>
    </w:p>
    <w:bookmarkEnd w:id="45"/>
    <w:bookmarkEnd w:id="46"/>
    <w:bookmarkStart w:id="54" w:name="Xb9123d5fd6fa734c6cb1e343c2eb5e05526bd49"/>
    <w:p>
      <w:pPr>
        <w:pStyle w:val="Heading1"/>
      </w:pPr>
      <w:r>
        <w:t xml:space="preserve">Part C — The discipline-to-source map (curriculum concept → authoritative source)</w:t>
      </w:r>
    </w:p>
    <w:p>
      <w:pPr>
        <w:pStyle w:val="FirstParagraph"/>
      </w:pPr>
      <w:r>
        <w:rPr>
          <w:i/>
          <w:iCs/>
        </w:rPr>
        <w:t xml:space="preserve">The reverse look-up: a student who has read a curriculum concept goes here to find the authoritative book. This is the</w:t>
      </w:r>
      <w:r>
        <w:rPr>
          <w:i/>
          <w:iCs/>
        </w:rP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read the original</w:t>
      </w:r>
      <w:r>
        <w:rPr>
          <w:i/>
          <w:iCs/>
        </w:rPr>
        <w:t xml:space="preserve">”</w:t>
      </w:r>
      <w:r>
        <w:rPr>
          <w:i/>
          <w:iCs/>
        </w:rPr>
        <w:t xml:space="preserve"> </w:t>
      </w:r>
      <w:r>
        <w:rPr>
          <w:i/>
          <w:iCs/>
        </w:rPr>
        <w:t xml:space="preserve">index.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taught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Authoritative source to read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Where the money lives / the market</w:t>
            </w:r>
          </w:p>
        </w:tc>
        <w:tc>
          <w:tcPr/>
          <w:p>
            <w:pPr>
              <w:pStyle w:val="Compact"/>
              <w:jc w:val="left"/>
            </w:pPr>
            <w:hyperlink r:id="rId47">
              <w:r>
                <w:rPr>
                  <w:rStyle w:val="Hyperlink"/>
                </w:rPr>
                <w:t xml:space="preserve">doctrine/01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Business Development Process Guide (market segmentation phase); APMP BOK (opportunity pipeline management); FAR Part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pursuit pipeline</w:t>
            </w:r>
          </w:p>
        </w:tc>
        <w:tc>
          <w:tcPr/>
          <w:p>
            <w:pPr>
              <w:pStyle w:val="Compact"/>
              <w:jc w:val="left"/>
            </w:pPr>
            <w:hyperlink r:id="rId23">
              <w:r>
                <w:rPr>
                  <w:rStyle w:val="Hyperlink"/>
                </w:rPr>
                <w:t xml:space="preserve">doctrine/03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Business Development Lifecycle Guide; APMP BOK (lifecycle stages)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Gates &amp; governance</w:t>
            </w:r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doctrine/04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Business Development Process Guide (the 7-gate ladder); APMP BOK (bid/no-bid gate)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Scoring &amp; price-to-win</w:t>
            </w:r>
          </w:p>
        </w:tc>
        <w:tc>
          <w:tcPr/>
          <w:p>
            <w:pPr>
              <w:pStyle w:val="Compact"/>
              <w:jc w:val="left"/>
            </w:pPr>
            <w:hyperlink r:id="rId48">
              <w:r>
                <w:rPr>
                  <w:rStyle w:val="Hyperlink"/>
                </w:rPr>
                <w:t xml:space="preserve">doctrine/05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Proposal Guide (price as strategy); Shipley Capture Guide (pricing posture)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ORBITAL structure</w:t>
            </w:r>
          </w:p>
        </w:tc>
        <w:tc>
          <w:tcPr/>
          <w:p>
            <w:pPr>
              <w:pStyle w:val="Compact"/>
              <w:jc w:val="left"/>
            </w:pPr>
            <w:hyperlink r:id="rId49">
              <w:r>
                <w:rPr>
                  <w:rStyle w:val="Hyperlink"/>
                </w:rPr>
                <w:t xml:space="preserve">doctrine/06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DreamLimited’s own doctrine</w:t>
            </w:r>
            <w:r>
              <w:t xml:space="preserve"> </w:t>
            </w:r>
            <w:r>
              <w:t xml:space="preserve">(O.R.B.I.T.A.L. / UBF) — not a Shipley/APMP 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 &amp; competitive strategy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doctrine/09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Capture Guide</w:t>
            </w:r>
            <w:r>
              <w:t xml:space="preserve"> </w:t>
            </w:r>
            <w:r>
              <w:t xml:space="preserve">(primary); APMP Capture Process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 themes / discriminators / ghost themes</w:t>
            </w:r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doctrine/09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Capture Guide (win strategy chapters); APMP BOK (win themes and discriminators)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 teams</w:t>
            </w:r>
          </w:p>
        </w:tc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Hyperlink"/>
                </w:rPr>
                <w:t xml:space="preserve">literacy/how-color-teams-work.md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Proposal Guide (color-team cadence); APMP BOK (review standards)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four volumes + compliance</w:t>
            </w:r>
          </w:p>
        </w:tc>
        <w:tc>
          <w:tcPr/>
          <w:p>
            <w:pPr>
              <w:pStyle w:val="Compact"/>
              <w:jc w:val="left"/>
            </w:pPr>
            <w:hyperlink r:id="rId35">
              <w:r>
                <w:rPr>
                  <w:rStyle w:val="Hyperlink"/>
                </w:rPr>
                <w:t xml:space="preserve">literacy/the-four-volumes.md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Proposal Guide (volume/outline discipline, compliance matrix); APMP BOK (compliance management)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Proposal production</w:t>
            </w:r>
          </w:p>
        </w:tc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Hyperlink"/>
                </w:rPr>
                <w:t xml:space="preserve">modules/graduate/elective-proposal-management-color-teams.md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Shipley Proposal Guide</w:t>
            </w:r>
            <w:r>
              <w:t xml:space="preserve"> </w:t>
            </w:r>
            <w:r>
              <w:t xml:space="preserve">(primary); APMP Proposal Process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Post-submission, orals, FPR, debrief</w:t>
            </w:r>
          </w:p>
        </w:tc>
        <w:tc>
          <w:tcPr/>
          <w:p>
            <w:pPr>
              <w:pStyle w:val="Compact"/>
              <w:jc w:val="left"/>
            </w:pPr>
            <w:hyperlink r:id="rId50">
              <w:r>
                <w:rPr>
                  <w:rStyle w:val="Hyperlink"/>
                </w:rPr>
                <w:t xml:space="preserve">doctrine/10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Shipley Business Development Lifecycle Guide (post-submittal activities); APMP BOK (post-submission)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Teaming / JV / subcontracting</w:t>
            </w:r>
          </w:p>
        </w:tc>
        <w:tc>
          <w:tcPr/>
          <w:p>
            <w:pPr>
              <w:pStyle w:val="Compact"/>
              <w:jc w:val="left"/>
            </w:pPr>
            <w:hyperlink r:id="rId51">
              <w:r>
                <w:rPr>
                  <w:rStyle w:val="Hyperlink"/>
                </w:rPr>
                <w:t xml:space="preserve">modules/graduate/elective-teaming-jv-subcontracting.md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APMP BOK (teaming &amp; partnerships); 13 CFR 121/125 (SBA affiliation/JV) — the legal 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 / DFARS</w:t>
            </w:r>
          </w:p>
        </w:tc>
        <w:tc>
          <w:tcPr/>
          <w:p>
            <w:pPr>
              <w:pStyle w:val="Compact"/>
              <w:jc w:val="left"/>
            </w:pPr>
            <w:hyperlink r:id="rId52">
              <w:r>
                <w:rPr>
                  <w:rStyle w:val="Hyperlink"/>
                </w:rPr>
                <w:t xml:space="preserve">course/undergraduate-301-procurement-law-and-far-fundamentals.md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FAR</w:t>
            </w:r>
            <w:r>
              <w:t xml:space="preserve"> </w:t>
            </w:r>
            <w:r>
              <w:t xml:space="preserve">(acquisition.gov) and</w:t>
            </w:r>
            <w:r>
              <w:t xml:space="preserve"> </w:t>
            </w:r>
            <w:r>
              <w:rPr>
                <w:b/>
                <w:bCs/>
              </w:rPr>
              <w:t xml:space="preserve">DFARS</w:t>
            </w:r>
            <w:r>
              <w:t xml:space="preserve"> </w:t>
            </w:r>
            <w:r>
              <w:t xml:space="preserve">— the law itself, not a book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Price-to-win finance (DCAA/CAS/TINA)</w:t>
            </w:r>
          </w:p>
        </w:tc>
        <w:tc>
          <w:tcPr/>
          <w:p>
            <w:pPr>
              <w:pStyle w:val="Compact"/>
              <w:jc w:val="left"/>
            </w:pPr>
            <w:hyperlink r:id="rId53">
              <w:r>
                <w:rPr>
                  <w:rStyle w:val="Hyperlink"/>
                </w:rPr>
                <w:t xml:space="preserve">modules/graduate/advanced-finance.md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FAR Part 31 (cost principles); DCAA Contract Audit Manual; CAS; TINA (10 U.S.C./41 U.S.C.) — the regulatory 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SBIR / STTR</w:t>
            </w:r>
          </w:p>
        </w:tc>
        <w:tc>
          <w:tcPr/>
          <w:p>
            <w:pPr>
              <w:pStyle w:val="Compact"/>
              <w:jc w:val="left"/>
            </w:pPr>
            <w:hyperlink r:id="rId47">
              <w:r>
                <w:rPr>
                  <w:rStyle w:val="Hyperlink"/>
                </w:rPr>
                <w:t xml:space="preserve">doctrine/01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SBIR/STTR statutes + SBA SBIR Policy Directive; sbir.gov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Certification landscape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literacy/industry-standard-canon.md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APMP BOK + APMP certification program; Shipley training/certification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4"/>
    <w:bookmarkStart w:id="55" w:name="part-d-citation-honesty"/>
    <w:p>
      <w:pPr>
        <w:pStyle w:val="Heading1"/>
      </w:pPr>
      <w:r>
        <w:t xml:space="preserve">Part D — Citation honesty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invented editions.</w:t>
      </w:r>
      <w:r>
        <w:t xml:space="preserve"> </w:t>
      </w:r>
      <w:r>
        <w:t xml:space="preserve">Shipley titles are cited by title (Shipley Capture Guide, Shipley Proposal Guide, Shipley Business Development Lifecycle Guide / Business Development Process Guide) without specific edition numbers, because the DNA corpus paraphrases the</w:t>
      </w:r>
      <w:r>
        <w:t xml:space="preserve"> </w:t>
      </w:r>
      <w:r>
        <w:rPr>
          <w:i/>
          <w:iCs/>
        </w:rPr>
        <w:t xml:space="preserve">current</w:t>
      </w:r>
      <w:r>
        <w:t xml:space="preserve"> </w:t>
      </w:r>
      <w:r>
        <w:t xml:space="preserve">edition and this repo must not assert an edition it has not verified. APMP BOK is cited as</w:t>
      </w:r>
      <w:r>
        <w:t xml:space="preserve"> </w:t>
      </w:r>
      <w:r>
        <w:t xml:space="preserve">“</w:t>
      </w:r>
      <w:r>
        <w:t xml:space="preserve">v4</w:t>
      </w:r>
      <w:r>
        <w:t xml:space="preserve">”</w:t>
      </w:r>
      <w:r>
        <w:t xml:space="preserve"> </w:t>
      </w:r>
      <w:r>
        <w:t xml:space="preserve">where the DNA provenance cites it; otherwise as</w:t>
      </w:r>
      <w:r>
        <w:t xml:space="preserve"> </w:t>
      </w:r>
      <w:r>
        <w:t xml:space="preserve">“</w:t>
      </w:r>
      <w:r>
        <w:t xml:space="preserve">the current BOK.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License-clean corpus.</w:t>
      </w:r>
      <w:r>
        <w:t xml:space="preserve"> </w:t>
      </w:r>
      <w:r>
        <w:t xml:space="preserve">Every Shipley/APMP-derived DNA artifact restates the concept in DreamLimited’s operating vocabulary; verbatim Shipley/APMP text is never reproduced. Students who want the authoritative text must buy/borrow the original publication — this map points them there.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concept is the durable thing.</w:t>
      </w:r>
      <w:r>
        <w:t xml:space="preserve"> </w:t>
      </w:r>
      <w:r>
        <w:t xml:space="preserve">The Shipley books and the APMP BOK are the</w:t>
      </w:r>
      <w:r>
        <w:t xml:space="preserve"> </w:t>
      </w:r>
      <w:r>
        <w:rPr>
          <w:i/>
          <w:iCs/>
        </w:rPr>
        <w:t xml:space="preserve">canon</w:t>
      </w:r>
      <w:r>
        <w:t xml:space="preserve">; the DNA corpus is the machine encoding of that canon; the curriculum is the human rendering of that canon. When a new Shipley/APMP edition changes vocabulary, the change is recorded in the DNA map (</w:t>
      </w:r>
      <w:r>
        <w:rPr>
          <w:rStyle w:val="VerbatimChar"/>
        </w:rPr>
        <w:t xml:space="preserve">shipley-dna-fusion-map.md</w:t>
      </w:r>
      <w:r>
        <w:t xml:space="preserve">) and this book canon — never by rewriting a doctrine file.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Where the two canons overlap.</w:t>
      </w:r>
      <w:r>
        <w:t xml:space="preserve"> </w:t>
      </w:r>
      <w:r>
        <w:t xml:space="preserve">Shipley owns the seven-gate BD lifecycle topology; APMP layers production-discipline detail on Shipley’s color-team cadence. Both are carried in DNA (</w:t>
      </w:r>
      <w:r>
        <w:rPr>
          <w:rStyle w:val="VerbatimChar"/>
        </w:rPr>
        <w:t xml:space="preserve">rules/shipley-capture-gates.yaml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rules/color-team.yaml</w:t>
      </w:r>
      <w:r>
        <w:t xml:space="preserve"> </w:t>
      </w:r>
      <w:r>
        <w:t xml:space="preserve">for Shipley;</w:t>
      </w:r>
      <w:r>
        <w:t xml:space="preserve"> </w:t>
      </w:r>
      <w:r>
        <w:rPr>
          <w:rStyle w:val="VerbatimChar"/>
        </w:rPr>
        <w:t xml:space="preserve">rules/apmp-color-teams.yaml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playbooks/apmp/*</w:t>
      </w:r>
      <w:r>
        <w:t xml:space="preserve"> </w:t>
      </w:r>
      <w:r>
        <w:t xml:space="preserve">for APMP). The overlap is complementary, not duplicate.</w:t>
      </w:r>
    </w:p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course/undergraduate-210-capture-and-pursuit-pipeline.md" TargetMode="External"/><Relationship Id="rId3" Type="http://schemas.openxmlformats.org/officeDocument/2006/relationships/settings" Target="settings.xml"/><Relationship Id="rId47" Type="http://schemas.openxmlformats.org/officeDocument/2006/relationships/hyperlink" Target="../doctrine/01-where-the-money-lives.md" TargetMode="External"/><Relationship Id="rId50" Type="http://schemas.openxmlformats.org/officeDocument/2006/relationships/hyperlink" Target="../doctrine/10-post-submission-and-win.md" TargetMode="External"/><Relationship Id="rId34" Type="http://schemas.openxmlformats.org/officeDocument/2006/relationships/hyperlink" Target="../literacy/how-color-teams-work.md" TargetMode="External"/><Relationship Id="rId55" Type="http://schemas.openxmlformats.org/officeDocument/2006/relationships/customXml" Target="../customXml/item2.xml"/><Relationship Id="rId7" Type="http://schemas.openxmlformats.org/officeDocument/2006/relationships/footnotes" Target="footnotes.xml"/><Relationship Id="rId33" Type="http://schemas.openxmlformats.org/officeDocument/2006/relationships/hyperlink" Target="../course/undergraduate-302-proposal-production-and-compliance.md" TargetMode="External"/><Relationship Id="rId25" Type="http://schemas.openxmlformats.org/officeDocument/2006/relationships/hyperlink" Target="../doctrine/04-gates-and-governance.md" TargetMode="External"/><Relationship Id="rId2" Type="http://schemas.openxmlformats.org/officeDocument/2006/relationships/styles" Target="styles.xml"/><Relationship Id="rId29" Type="http://schemas.openxmlformats.org/officeDocument/2006/relationships/hyperlink" Target="../modules/graduate/elective-competitive-market-intelligence.md" TargetMode="External"/><Relationship Id="rId41" Type="http://schemas.openxmlformats.org/officeDocument/2006/relationships/hyperlink" Target="../research/competency-model.md" TargetMode="External"/><Relationship Id="rId54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3" Type="http://schemas.openxmlformats.org/officeDocument/2006/relationships/hyperlink" Target="../modules/graduate/advanced-finance.md" TargetMode="External"/><Relationship Id="rId32" Type="http://schemas.openxmlformats.org/officeDocument/2006/relationships/hyperlink" Target="../modules/graduate/elective-proposal-management-color-teams.md" TargetMode="External"/><Relationship Id="rId24" Type="http://schemas.openxmlformats.org/officeDocument/2006/relationships/hyperlink" Target="../modules/shared-core.md" TargetMode="External"/><Relationship Id="rId37" Type="http://schemas.openxmlformats.org/officeDocument/2006/relationships/hyperlink" Target="../modules/strategic-initiative.md" TargetMode="External"/><Relationship Id="rId5" Type="http://schemas.openxmlformats.org/officeDocument/2006/relationships/fontTable" Target="fontTable.xml"/><Relationship Id="rId23" Type="http://schemas.openxmlformats.org/officeDocument/2006/relationships/hyperlink" Target="../doctrine/03-the-pursuit-pipeline.md" TargetMode="External"/><Relationship Id="rId49" Type="http://schemas.openxmlformats.org/officeDocument/2006/relationships/hyperlink" Target="../doctrine/06-orbital-business-structure.md" TargetMode="External"/><Relationship Id="rId28" Type="http://schemas.openxmlformats.org/officeDocument/2006/relationships/hyperlink" Target="../doctrine/09-capture-and-competitive-strategy.md" TargetMode="External"/><Relationship Id="rId52" Type="http://schemas.openxmlformats.org/officeDocument/2006/relationships/hyperlink" Target="../course/undergraduate-301-procurement-law-and-far-fundamentals.md" TargetMode="External"/><Relationship Id="rId31" Type="http://schemas.openxmlformats.org/officeDocument/2006/relationships/hyperlink" Target="../doctrine/02-rfps-and-solicitations.md" TargetMode="External"/><Relationship Id="rId44" Type="http://schemas.openxmlformats.org/officeDocument/2006/relationships/hyperlink" Target="../modules/doctoral/research-agenda.md" TargetMode="External"/><Relationship Id="rId4" Type="http://schemas.openxmlformats.org/officeDocument/2006/relationships/webSettings" Target="webSettings.xml"/><Relationship Id="rId48" Type="http://schemas.openxmlformats.org/officeDocument/2006/relationships/hyperlink" Target="../doctrine/05-scoring-and-price-to-win.md" TargetMode="External"/><Relationship Id="rId22" Type="http://schemas.openxmlformats.org/officeDocument/2006/relationships/hyperlink" Target="../literacy/industry-standard-canon.md" TargetMode="External"/><Relationship Id="rId35" Type="http://schemas.openxmlformats.org/officeDocument/2006/relationships/hyperlink" Target="../literacy/the-four-volumes.md" TargetMode="External"/><Relationship Id="rId43" Type="http://schemas.openxmlformats.org/officeDocument/2006/relationships/hyperlink" Target="../research/credential-mapping.md" TargetMode="External"/><Relationship Id="rId56" Type="http://schemas.openxmlformats.org/officeDocument/2006/relationships/customXml" Target="../customXml/item3.xml"/><Relationship Id="rId8" Type="http://schemas.openxmlformats.org/officeDocument/2006/relationships/comments" Target="comments.xml"/><Relationship Id="rId51" Type="http://schemas.openxmlformats.org/officeDocument/2006/relationships/hyperlink" Target="../modules/graduate/elective-teaming-jv-subcontracting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../course/undergraduate-210-capture-and-pursuit-pipeline.md" TargetMode="External" /><Relationship Type="http://schemas.openxmlformats.org/officeDocument/2006/relationships/hyperlink" Id="rId52" Target="../course/undergraduate-301-procurement-law-and-far-fundamentals.md" TargetMode="External" /><Relationship Type="http://schemas.openxmlformats.org/officeDocument/2006/relationships/hyperlink" Id="rId33" Target="../course/undergraduate-302-proposal-production-and-compliance.md" TargetMode="External" /><Relationship Type="http://schemas.openxmlformats.org/officeDocument/2006/relationships/hyperlink" Id="rId47" Target="../doctrine/01-where-the-money-lives.md" TargetMode="External" /><Relationship Type="http://schemas.openxmlformats.org/officeDocument/2006/relationships/hyperlink" Id="rId31" Target="../doctrine/02-rfps-and-solicitations.md" TargetMode="External" /><Relationship Type="http://schemas.openxmlformats.org/officeDocument/2006/relationships/hyperlink" Id="rId23" Target="../doctrine/03-the-pursuit-pipeline.md" TargetMode="External" /><Relationship Type="http://schemas.openxmlformats.org/officeDocument/2006/relationships/hyperlink" Id="rId25" Target="../doctrine/04-gates-and-governance.md" TargetMode="External" /><Relationship Type="http://schemas.openxmlformats.org/officeDocument/2006/relationships/hyperlink" Id="rId48" Target="../doctrine/05-scoring-and-price-to-win.md" TargetMode="External" /><Relationship Type="http://schemas.openxmlformats.org/officeDocument/2006/relationships/hyperlink" Id="rId49" Target="../doctrine/06-orbital-business-structure.md" TargetMode="External" /><Relationship Type="http://schemas.openxmlformats.org/officeDocument/2006/relationships/hyperlink" Id="rId28" Target="../doctrine/09-capture-and-competitive-strategy.md" TargetMode="External" /><Relationship Type="http://schemas.openxmlformats.org/officeDocument/2006/relationships/hyperlink" Id="rId50" Target="../doctrine/10-post-submission-and-win.md" TargetMode="External" /><Relationship Type="http://schemas.openxmlformats.org/officeDocument/2006/relationships/hyperlink" Id="rId34" Target="../literacy/how-color-teams-work.md" TargetMode="External" /><Relationship Type="http://schemas.openxmlformats.org/officeDocument/2006/relationships/hyperlink" Id="rId22" Target="../literacy/industry-standard-canon.md" TargetMode="External" /><Relationship Type="http://schemas.openxmlformats.org/officeDocument/2006/relationships/hyperlink" Id="rId35" Target="../literacy/the-four-volumes.md" TargetMode="External" /><Relationship Type="http://schemas.openxmlformats.org/officeDocument/2006/relationships/hyperlink" Id="rId44" Target="../modules/doctoral/research-agenda.md" TargetMode="External" /><Relationship Type="http://schemas.openxmlformats.org/officeDocument/2006/relationships/hyperlink" Id="rId53" Target="../modules/graduate/advanced-finance.md" TargetMode="External" /><Relationship Type="http://schemas.openxmlformats.org/officeDocument/2006/relationships/hyperlink" Id="rId29" Target="../modules/graduate/elective-competitive-market-intelligence.md" TargetMode="External" /><Relationship Type="http://schemas.openxmlformats.org/officeDocument/2006/relationships/hyperlink" Id="rId32" Target="../modules/graduate/elective-proposal-management-color-teams.md" TargetMode="External" /><Relationship Type="http://schemas.openxmlformats.org/officeDocument/2006/relationships/hyperlink" Id="rId51" Target="../modules/graduate/elective-teaming-jv-subcontracting.md" TargetMode="External" /><Relationship Type="http://schemas.openxmlformats.org/officeDocument/2006/relationships/hyperlink" Id="rId24" Target="../modules/shared-core.md" TargetMode="External" /><Relationship Type="http://schemas.openxmlformats.org/officeDocument/2006/relationships/hyperlink" Id="rId37" Target="../modules/strategic-initiative.md" TargetMode="External" /><Relationship Type="http://schemas.openxmlformats.org/officeDocument/2006/relationships/hyperlink" Id="rId41" Target="../research/competency-model.md" TargetMode="External" /><Relationship Type="http://schemas.openxmlformats.org/officeDocument/2006/relationships/hyperlink" Id="rId43" Target="../research/credential-mapping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BA849150-4FE7-4A7C-A7DA-8503A48FBAF7}"/>
</file>

<file path=customXml/itemProps2.xml><?xml version="1.0" encoding="utf-8"?>
<ds:datastoreItem xmlns:ds="http://schemas.openxmlformats.org/officeDocument/2006/customXml" ds:itemID="{775E8224-74F6-4ED3-A7FC-AA05BA39E4AD}"/>
</file>

<file path=customXml/itemProps3.xml><?xml version="1.0" encoding="utf-8"?>
<ds:datastoreItem xmlns:ds="http://schemas.openxmlformats.org/officeDocument/2006/customXml" ds:itemID="{7C0F8106-2D2F-4CA0-A83A-A3FE806F91D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2026-08-05T17:25:36Z</dcterms:created>
  <dcterms:modified xsi:type="dcterms:W3CDTF">2026-08-05T17:25:36Z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