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dna-corpus-full-human-readable-index"/>
    <w:p>
      <w:pPr>
        <w:pStyle w:val="Heading1"/>
      </w:pPr>
      <w:r>
        <w:t xml:space="preserve">DNA Corpus — Full Human-Readable Index</w:t>
      </w:r>
    </w:p>
    <w:p>
      <w:pPr>
        <w:pStyle w:val="FirstParagraph"/>
      </w:pPr>
      <w:r>
        <w:rPr>
          <w:i/>
          <w:iCs/>
        </w:rPr>
        <w:t xml:space="preserve">Every artifact in the Dream DNA machine corpus, indexed for a human reader: what it is, which DNA version carries it, and which curriculum module teaches it. Artifacts with no curriculum home are flagged — those are the gaps the integrator records for the next build wave.</w:t>
      </w:r>
    </w:p>
    <w:bookmarkStart w:id="20" w:name="version-provenance"/>
    <w:p>
      <w:pPr>
        <w:pStyle w:val="Heading2"/>
      </w:pPr>
      <w:r>
        <w:t xml:space="preserve">Version provenance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DNA</w:t>
            </w:r>
            <w:r>
              <w:t xml:space="preserve"> </w:t>
            </w:r>
            <w:r>
              <w:rPr>
                <w:rStyle w:val="VerbatimChar"/>
              </w:rPr>
              <w:t xml:space="preserve">VERSION</w:t>
            </w:r>
            <w:r>
              <w:t xml:space="preserve"> </w:t>
            </w:r>
            <w:r>
              <w:t xml:space="preserve">(repo root, authoritative bare string)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dna-manifest.yaml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metadata.version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Git tag on</w:t>
            </w:r>
            <w:r>
              <w:t xml:space="preserve"> </w:t>
            </w:r>
            <w:r>
              <w:rPr>
                <w:rStyle w:val="VerbatimChar"/>
              </w:rPr>
              <w:t xml:space="preserve">main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Verified 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2026-08-05</w:t>
            </w:r>
          </w:p>
        </w:tc>
      </w:tr>
    </w:tbl>
    <w:p>
      <w:pPr>
        <w:pStyle w:val="BodyText"/>
      </w:pPr>
      <w:r>
        <w:rPr>
          <w:b/>
          <w:bCs/>
        </w:rPr>
        <w:t xml:space="preserve">Every path below was verified to exist at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v0.18.2</w:t>
      </w:r>
      <w:r>
        <w:rPr>
          <w:b/>
          <w:bCs/>
        </w:rPr>
        <w:t xml:space="preserve">.</w:t>
      </w:r>
      <w:r>
        <w:t xml:space="preserve"> </w:t>
      </w:r>
      <w:r>
        <w:t xml:space="preserve">When DNA bumps, this index must be re-verified; removed/renamed entries move to the changelog. Content rules are parsed by Dream Agent; schema stability is enforced by</w:t>
      </w:r>
      <w:r>
        <w:t xml:space="preserve"> </w:t>
      </w:r>
      <w:r>
        <w:rPr>
          <w:rStyle w:val="VerbatimChar"/>
        </w:rPr>
        <w:t xml:space="preserve">schemas/</w:t>
      </w:r>
      <w:r>
        <w:t xml:space="preserve"> </w:t>
      </w:r>
      <w:r>
        <w:t xml:space="preserve">and CI (</w:t>
      </w:r>
      <w:r>
        <w:rPr>
          <w:rStyle w:val="VerbatimChar"/>
        </w:rPr>
        <w:t xml:space="preserve">dna-automerge-gate</w:t>
      </w:r>
      <w:r>
        <w:t xml:space="preserve">,</w:t>
      </w:r>
      <w:r>
        <w:t xml:space="preserve"> </w:t>
      </w:r>
      <w:r>
        <w:rPr>
          <w:rStyle w:val="VerbatimChar"/>
        </w:rPr>
        <w:t xml:space="preserve">changelog-lint</w:t>
      </w:r>
      <w:r>
        <w:t xml:space="preserve">).</w:t>
      </w:r>
    </w:p>
    <w:bookmarkEnd w:id="20"/>
    <w:bookmarkStart w:id="21" w:name="how-to-read-the-columns"/>
    <w:p>
      <w:pPr>
        <w:pStyle w:val="Heading2"/>
      </w:pPr>
      <w:r>
        <w:t xml:space="preserve">How to read the columns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Path</w:t>
      </w:r>
      <w:r>
        <w:t xml:space="preserve"> </w:t>
      </w:r>
      <w:r>
        <w:t xml:space="preserve">— DNA-relative path (repo root =</w:t>
      </w:r>
      <w:r>
        <w:t xml:space="preserve"> </w:t>
      </w:r>
      <w:r>
        <w:rPr>
          <w:rStyle w:val="VerbatimChar"/>
        </w:rPr>
        <w:t xml:space="preserve">DreamLimited/dna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it is</w:t>
      </w:r>
      <w:r>
        <w:t xml:space="preserve"> </w:t>
      </w:r>
      <w:r>
        <w:t xml:space="preserve">— one line.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Curriculum home</w:t>
      </w:r>
      <w:r>
        <w:t xml:space="preserve"> </w:t>
      </w:r>
      <w:r>
        <w:t xml:space="preserve">— the teaching module in this repo, when one exists.</w:t>
      </w:r>
      <w:r>
        <w:t xml:space="preserve"> </w:t>
      </w:r>
      <w:r>
        <w:rPr>
          <w:rStyle w:val="VerbatimChar"/>
        </w:rPr>
        <w:t xml:space="preserve">—</w:t>
      </w:r>
      <w:r>
        <w:t xml:space="preserve"> </w:t>
      </w:r>
      <w:r>
        <w:t xml:space="preserve">means</w:t>
      </w:r>
      <w:r>
        <w:t xml:space="preserve"> </w:t>
      </w:r>
      <w:r>
        <w:rPr>
          <w:b/>
          <w:bCs/>
        </w:rPr>
        <w:t xml:space="preserve">no curriculum home</w:t>
      </w:r>
      <w:r>
        <w:t xml:space="preserve"> </w:t>
      </w:r>
      <w:r>
        <w:t xml:space="preserve">→ gap candidate.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Flag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GAP</w:t>
      </w:r>
      <w:r>
        <w:t xml:space="preserve"> </w:t>
      </w:r>
      <w:r>
        <w:t xml:space="preserve">(no curriculum home; integrator records it),</w:t>
      </w:r>
      <w:r>
        <w:t xml:space="preserve"> </w:t>
      </w:r>
      <w:r>
        <w:rPr>
          <w:rStyle w:val="VerbatimChar"/>
        </w:rPr>
        <w:t xml:space="preserve">Partial</w:t>
      </w:r>
      <w:r>
        <w:t xml:space="preserve"> </w:t>
      </w:r>
      <w:r>
        <w:t xml:space="preserve">(concept taught, artifact itself not a taught object), or blank (taught).</w:t>
      </w:r>
    </w:p>
    <w:bookmarkEnd w:id="21"/>
    <w:bookmarkStart w:id="22" w:name="legend-for-curriculum-home-links"/>
    <w:p>
      <w:pPr>
        <w:pStyle w:val="Heading2"/>
      </w:pPr>
      <w:r>
        <w:t xml:space="preserve">Legend for curriculum-home links</w:t>
      </w:r>
    </w:p>
    <w:p>
      <w:pPr>
        <w:pStyle w:val="FirstParagraph"/>
      </w:pPr>
      <w:r>
        <w:t xml:space="preserve">Relative links below point into this repo (</w:t>
      </w:r>
      <w:r>
        <w:rPr>
          <w:rStyle w:val="VerbatimChar"/>
        </w:rPr>
        <w:t xml:space="preserve">dream-curriculum</w:t>
      </w:r>
      <w:r>
        <w:t xml:space="preserve">). The heavy hitters:</w:t>
      </w:r>
      <w:r>
        <w:t xml:space="preserve"> </w:t>
      </w:r>
      <w:r>
        <w:rPr>
          <w:rStyle w:val="VerbatimChar"/>
        </w:rPr>
        <w:t xml:space="preserve">doctrine/01</w:t>
      </w:r>
      <w:r>
        <w:t xml:space="preserve">–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literacy/*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modules/*</w:t>
      </w:r>
      <w:r>
        <w:t xml:space="preserve"> </w:t>
      </w:r>
      <w:r>
        <w:t xml:space="preserve">(shared-core, strategic-initiative, mba, mpa, undergraduate, graduate, doctoral),</w:t>
      </w:r>
      <w:r>
        <w:t xml:space="preserve"> </w:t>
      </w:r>
      <w:r>
        <w:rPr>
          <w:rStyle w:val="VerbatimChar"/>
        </w:rPr>
        <w:t xml:space="preserve">course/*</w:t>
      </w:r>
      <w:r>
        <w:t xml:space="preserve">,</w:t>
      </w:r>
      <w:r>
        <w:t xml:space="preserve"> </w:t>
      </w:r>
      <w:r>
        <w:rPr>
          <w:rStyle w:val="VerbatimChar"/>
        </w:rPr>
        <w:t xml:space="preserve">practice/*</w:t>
      </w:r>
      <w:r>
        <w:t xml:space="preserve">,</w:t>
      </w:r>
      <w:r>
        <w:t xml:space="preserve"> </w:t>
      </w:r>
      <w:r>
        <w:rPr>
          <w:rStyle w:val="VerbatimChar"/>
        </w:rPr>
        <w:t xml:space="preserve">case-study/ravonics.md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49" w:name="X32990a38f99ddeeec5cec49fb0a24bedf96e7b2"/>
    <w:p>
      <w:pPr>
        <w:pStyle w:val="Heading1"/>
      </w:pPr>
      <w:r>
        <w:t xml:space="preserve">1.</w:t>
      </w:r>
      <w:r>
        <w:t xml:space="preserve"> </w:t>
      </w:r>
      <w:r>
        <w:rPr>
          <w:rStyle w:val="VerbatimChar"/>
        </w:rPr>
        <w:t xml:space="preserve">rules/</w:t>
      </w:r>
      <w:r>
        <w:t xml:space="preserve"> </w:t>
      </w:r>
      <w:r>
        <w:t xml:space="preserve">— deterministic decision rules (YAML, parsed by Dream Agent)</w:t>
      </w:r>
    </w:p>
    <w:bookmarkStart w:id="47" w:name="X44e565f001dc22c8f6f317c2e61d7bec3dbfdec"/>
    <w:p>
      <w:pPr>
        <w:pStyle w:val="Heading2"/>
      </w:pPr>
      <w:r>
        <w:t xml:space="preserve">1.1 Top-level lifecycle, gate, and decision rules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Canonical Shipley BD lifecycle gate registry (</w:t>
            </w:r>
            <w:r>
              <w:rPr>
                <w:rStyle w:val="VerbatimChar"/>
              </w:rPr>
              <w:t xml:space="preserve">gate-1-market</w:t>
            </w:r>
            <w:r>
              <w:t xml:space="preserve"> </w:t>
            </w:r>
            <w:r>
              <w:t xml:space="preserve">…</w:t>
            </w:r>
            <w:r>
              <w:t xml:space="preserve"> </w:t>
            </w:r>
            <w:r>
              <w:rPr>
                <w:rStyle w:val="VerbatimChar"/>
              </w:rPr>
              <w:t xml:space="preserve">gate-7-postsubmission</w:t>
            </w:r>
            <w:r>
              <w:t xml:space="preserve">): entry/exit criteria, companion playbook, ORBITAL Activity axis per gate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;</w:t>
            </w:r>
            <w:r>
              <w:t xml:space="preserve"> </w:t>
            </w: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course/undergraduate-210-capture-and-pursuit-pipeline.md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Pre-RFP capture-management lifecycle (Shipley-derived): opportunity ID → qualification → customer engagement → competitive analysis → win strategy → readiness review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rules/bid-no-bid.yaml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Five-dimension weighted bid/no-bid rubric → discrete BID / BID_WITH_CONDITIONS / NO_BID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rules/color-team.yaml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Color-team review process: Pink→Red→Gold→White sequence, per-team criteria, pass/fail thresholds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rules/apmp-color-teams.yaml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APMP-aligned color-team entry/exit registry, reviewer-composition minima, finding specificity, roster lock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rules/submission.yaml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Terminal Target-stage submission checklist + gate criteria (pre-submission verification, logistics, confirmation)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;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doctrine/03-the-pursuit-pipeline.md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rules/past-performance-retrieval.yaml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Deterministic past-performance retrieval contract (FAR 15.305(a)(2) eligibility: awarded/performed only)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rules/teaming.yaml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Teaming-posture decision matrix (prime solo, prime+subs, subcontractor, JV, mentor-protege)</w:t>
            </w:r>
          </w:p>
        </w:tc>
        <w:tc>
          <w:tcPr/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  <w:r>
              <w:t xml:space="preserve">;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rules/pricing-floor.yaml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Load-bearing margin floors by contract type, prohibited price actions, escalation thresholds, BOE-evidence requirements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;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;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rules/pricing-guardrails.yaml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Procedural envelope around the pricing-to-win estimator; protects the floor from drift/stale inputs/unilateral override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rules/section-l-format-compliance.yaml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Section L format-constraint model (page caps, format profile) shared by the whole proposal-generation spine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rules/strategic-positioning-patterns.yaml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FR-STRAT-1..4 historical-winner pattern checks for the Gold-team pass (deterministic scaffold of</w:t>
            </w:r>
            <w:r>
              <w:t xml:space="preserve"> </w:t>
            </w:r>
            <w:r>
              <w:rPr>
                <w:rStyle w:val="VerbatimChar"/>
              </w:rPr>
              <w:t xml:space="preserve">playbooks/strategic-positioning.md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rules/incumbent-displacement.yaml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Incumbent displacement / ghosting decision matrix keyed off public-record competitor-graph facts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rules/grant-compliance.yaml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Deterministic FR-COMP-1..11 grants pre-submission compliance sidecar (Dream Auditor)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rules/growth-lifecycle.yaml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Accelerator lifecycle manifest (Gauge→Research→Organize→Write→Target→Health): stages, entry/exit, tools, pWin weights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;</w:t>
            </w:r>
            <w:r>
              <w:t xml:space="preserve"> </w:t>
            </w:r>
            <w:hyperlink r:id="rId42">
              <w:r>
                <w:rPr>
                  <w:rStyle w:val="Hyperlink"/>
                </w:rPr>
                <w:t xml:space="preserve">modules/shared-core.md</w:t>
              </w:r>
            </w:hyperlink>
            <w:r>
              <w:t xml:space="preserve">;</w:t>
            </w:r>
            <w:r>
              <w:t xml:space="preserve"> </w:t>
            </w:r>
            <w:hyperlink r:id="rId43">
              <w:r>
                <w:rPr>
                  <w:rStyle w:val="Hyperlink"/>
                </w:rPr>
                <w:t xml:space="preserve">modules/strategic-initiative.md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rules/gsa-vehicle-pursuits.yaml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GSA vehicle pursuit-scoping decision rule (MAS, Alliant 3 SB, OASIS+)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rules/naics-alignment.yaml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NAICS-alignment scoring for opportunity fit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rules/sba-size-standards.yaml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size-standards registry (13 CFR 121.201 snapshot)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rules/sbir-capture-workflow.yaml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SBIR/STTR capture workflow (Shipley gates 1–4 adapted to SBIR timescale)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 </w:t>
            </w:r>
            <w:r>
              <w:t xml:space="preserve">(SBIR/STTR);</w:t>
            </w:r>
            <w:r>
              <w:t xml:space="preserve"> </w:t>
            </w:r>
            <w:hyperlink r:id="rId45">
              <w:r>
                <w:rPr>
                  <w:rStyle w:val="Hyperlink"/>
                </w:rPr>
                <w:t xml:space="preserve">modules/undergraduate/README.md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rules/sbir-phase-gates.yaml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SBIR/STTR Phase I/II/III gate registry (15 USC 638, agency cadence, TRL alignment)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rules/sbir-phase-ii-transition.yaml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Phase II → transition guidance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rules/sbir-proposal-templates.yaml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proposal-template registry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45">
              <w:r>
                <w:rPr>
                  <w:rStyle w:val="Hyperlink"/>
                </w:rPr>
                <w:t xml:space="preserve">modules/undergraduate/README.md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rules/orbital-to-proposal-map.yaml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ORBITAL seven-axis → proposal-section mapping (the substrate of volume assembly)</w:t>
            </w:r>
          </w:p>
        </w:tc>
        <w:tc>
          <w:tcPr/>
          <w:p>
            <w:pPr>
              <w:pStyle w:val="Compact"/>
              <w:jc w:val="left"/>
            </w:pPr>
            <w:hyperlink r:id="rId46">
              <w:r>
                <w:rPr>
                  <w:rStyle w:val="Hyperlink"/>
                </w:rPr>
                <w:t xml:space="preserve">doctrine/06-orbital-business-structure.md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rules/ubf.yaml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UBF cosmology semantics (Galaxy→…→Moon/ORBITAL) — the machine state model</w:t>
            </w:r>
          </w:p>
        </w:tc>
        <w:tc>
          <w:tcPr/>
          <w:p>
            <w:pPr>
              <w:pStyle w:val="Compact"/>
              <w:jc w:val="left"/>
            </w:pPr>
            <w:hyperlink r:id="rId46">
              <w:r>
                <w:rPr>
                  <w:rStyle w:val="Hyperlink"/>
                </w:rPr>
                <w:t xml:space="preserve">doctrine/06-orbital-business-structure.md</w:t>
              </w:r>
            </w:hyperlink>
            <w:r>
              <w:t xml:space="preserve">;</w:t>
            </w:r>
            <w:r>
              <w:t xml:space="preserve"> </w:t>
            </w: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rules/cosmology-loop.yaml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Won-Orbital→World re-seed budget policy (self-funding loop)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 (concept taught; artifact is operational)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rules/agent-budgets.yaml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Agent-fund spend spine (per-tier × stage ceilings, per-section/per-project caps)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(operational spend control; not a taught object)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rules/funding-rationale-tags.yaml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Closed vocabulary for</w:t>
            </w:r>
            <w:r>
              <w:t xml:space="preserve"> </w:t>
            </w:r>
            <w:r>
              <w:rPr>
                <w:rStyle w:val="VerbatimChar"/>
              </w:rPr>
              <w:t xml:space="preserve">funding_rationale_tags</w:t>
            </w:r>
            <w:r>
              <w:t xml:space="preserve"> </w:t>
            </w:r>
            <w:r>
              <w:t xml:space="preserve">on ORBITAL Snapshot/Gate cards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(machine metadata vocabulary; not a taught object)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rules/source-now-data-manifest.yaml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Canonical 59-connector registry across 7 data planes (SAM.gov, Grants.gov, agency feeds)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</w:tbl>
    <w:bookmarkEnd w:id="47"/>
    <w:bookmarkStart w:id="48" w:name="X7c0e98e326ae4f3f4eddb785f7508b235544bc3"/>
    <w:p>
      <w:pPr>
        <w:pStyle w:val="Heading2"/>
      </w:pPr>
      <w:r>
        <w:t xml:space="preserve">1.2</w:t>
      </w:r>
      <w:r>
        <w:t xml:space="preserve"> </w:t>
      </w:r>
      <w:r>
        <w:rPr>
          <w:rStyle w:val="VerbatimChar"/>
        </w:rPr>
        <w:t xml:space="preserve">rules/nist-800-53/</w:t>
      </w:r>
      <w:r>
        <w:t xml:space="preserve"> </w:t>
      </w:r>
      <w:r>
        <w:t xml:space="preserve">— security/compliance control mappings</w:t>
      </w:r>
    </w:p>
    <w:p>
      <w:pPr>
        <w:pStyle w:val="FirstParagraph"/>
      </w:pPr>
      <w:r>
        <w:t xml:space="preserve">All 18 files map a NIST 800-53 control family (Rev 5) to ATO-evidence posture for Dream Agent / Mission Control.</w:t>
      </w:r>
      <w:r>
        <w:t xml:space="preserve"> </w:t>
      </w:r>
      <w:r>
        <w:rPr>
          <w:b/>
          <w:bCs/>
        </w:rPr>
        <w:t xml:space="preserve">No curriculum home</w:t>
      </w:r>
      <w:r>
        <w:t xml:space="preserve"> </w:t>
      </w:r>
      <w:r>
        <w:t xml:space="preserve">— the curriculum teaches</w:t>
      </w:r>
      <w:r>
        <w:t xml:space="preserve"> </w:t>
      </w:r>
      <w:r>
        <w:t xml:space="preserve">“</w:t>
      </w:r>
      <w:r>
        <w:t xml:space="preserve">public-side governance</w:t>
      </w:r>
      <w:r>
        <w:t xml:space="preserve">”</w:t>
      </w:r>
      <w:r>
        <w:t xml:space="preserve"> </w:t>
      </w:r>
      <w:r>
        <w:t xml:space="preserve">at concept level, not control-by-control ATO mapping.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rules/nist-800-53/catalog.yaml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Master NIST 800-53 control-family catalog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rules/nist-800-53/ac-access-control.yaml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rules/nist-800-53/at-awareness-training.yaml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rules/nist-800-53/au-audit-accountability.yaml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rules/nist-800-53/ca-assessment-authorization-monitoring.yaml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rules/nist-800-53/cm-configuration-management.yaml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CM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rules/nist-800-53/cp-contingency-planning.yaml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CP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rules/nist-800-53/ia-identification-authentication.yaml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IA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rules/nist-800-53/ir-incident-response.yaml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IR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rules/nist-800-53/ma-maintenance.yaml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rules/nist-800-53/mp-media-protection.yaml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MP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rules/nist-800-53/pe-physical-environmental.yaml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rules/nist-800-53/pl-planning.yaml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rules/nist-800-53/pm-program-management.yaml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rules/nist-800-53/ps-personnel-security.yaml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rules/nist-800-53/pt-pii-processing-transparency.yaml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PT control family (PII processing)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rules/nist-800-53/ra-risk-assessment.yaml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rules/nist-800-53/sa-system-services-acquisition.yaml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rules/nist-800-53/sc-system-communications-protection.yaml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rules/nist-800-53/si-system-information-integrity.yaml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 control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rules/nist-800-53/sr-supply-chain-risk-management.yaml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SR control family (supply chain)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</w:tbl>
    <w:p>
      <w:pPr>
        <w:pStyle w:val="BodyText"/>
      </w:pPr>
      <w:r>
        <w:rPr>
          <w:i/>
          <w:iCs/>
        </w:rPr>
        <w:t xml:space="preserve">(Count: 21 files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rules/nist-800-53/</w:t>
      </w:r>
      <w:r>
        <w:rPr>
          <w:i/>
          <w:iCs/>
        </w:rPr>
        <w:t xml:space="preserve"> </w:t>
      </w:r>
      <w:r>
        <w:rPr>
          <w:i/>
          <w:iCs/>
        </w:rPr>
        <w:t xml:space="preserve">— catalog + 20 control families. The find listing surfaced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ac/at/au/ca/cm/cp/ia/ir/ma/mp/pe/pl/pm/ps/pt/ra/sa/sc/si/sr</w:t>
      </w:r>
      <w:r>
        <w:rPr>
          <w:i/>
          <w:iCs/>
        </w:rPr>
        <w:t xml:space="preserve">.)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8" w:name="X87bc1c651e96366b6b8ceafd1368736a5963ec7"/>
    <w:p>
      <w:pPr>
        <w:pStyle w:val="Heading1"/>
      </w:pPr>
      <w:r>
        <w:t xml:space="preserve">2.</w:t>
      </w:r>
      <w:r>
        <w:t xml:space="preserve"> </w:t>
      </w:r>
      <w:r>
        <w:rPr>
          <w:rStyle w:val="VerbatimChar"/>
        </w:rPr>
        <w:t xml:space="preserve">playbooks/</w:t>
      </w:r>
      <w:r>
        <w:t xml:space="preserve"> </w:t>
      </w:r>
      <w:r>
        <w:t xml:space="preserve">— narrative and structural playbooks</w:t>
      </w:r>
    </w:p>
    <w:bookmarkStart w:id="53" w:name="top-level-narrative-playbooks"/>
    <w:p>
      <w:pPr>
        <w:pStyle w:val="Heading2"/>
      </w:pPr>
      <w:r>
        <w:t xml:space="preserve">2.1 Top-level narrative playbooks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playbooks/01-pre-rfp.md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Pre-RFP capture planning (opportunity ID → qualification → engagement → readiness)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playbooks/02-rfp-decode.md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RFP decode — the first 48–72 hours after release (Section L/M decode)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50">
              <w:r>
                <w:rPr>
                  <w:rStyle w:val="Hyperlink"/>
                </w:rPr>
                <w:t xml:space="preserve">literacy/how-to-read-an-rfp.md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playbooks/03-proposal-strategy.md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strategy — win themes, discriminators, ghost themes assigned to sections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playbooks/04-proposal-production.md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production + color reviews through Gold Team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;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playbooks/05-orals.md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Oral presentation preparation, delivery, post-orals follow-up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doctrine/10-post-submission-and-win.md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playbooks/06-post-submission.md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Submission → award: clarifications, evaluation notices, FPR cycle, debrief, lessons-learned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doctrine/10-post-submission-and-win.md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playbooks/shipley-capture.md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Narrative Shipley capture playbook (gates 1–4) — license-clean paraphrase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playbooks/shipley-proposal.md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Narrative Shipley proposal playbook (gates 5–7) — license-clean paraphrase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playbooks/pipeline-doctrine.md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Now pipeline doctrine: connector-to-stage routing, data freshness, verification gates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;</w:t>
            </w:r>
            <w:r>
              <w:t xml:space="preserve"> </w:t>
            </w:r>
            <w:hyperlink r:id="rId42">
              <w:r>
                <w:rPr>
                  <w:rStyle w:val="Hyperlink"/>
                </w:rPr>
                <w:t xml:space="preserve">modules/shared-core.md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playbooks/strategic-positioning.md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Agentic Gold-team strategic-positioning pass (historical-winner compare)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playbooks/nofo-comprehension.md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NOFO ingest → structured</w:t>
            </w:r>
            <w:r>
              <w:t xml:space="preserve"> </w:t>
            </w:r>
            <w:r>
              <w:rPr>
                <w:rStyle w:val="VerbatimChar"/>
              </w:rPr>
              <w:t xml:space="preserve">nofo-graph.v1</w:t>
            </w:r>
            <w:r>
              <w:t xml:space="preserve"> </w:t>
            </w:r>
            <w:r>
              <w:t xml:space="preserve">emission (Auditor ingest)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52">
              <w:r>
                <w:rPr>
                  <w:rStyle w:val="Hyperlink"/>
                </w:rPr>
                <w:t xml:space="preserve">literacy/how-to-read-a-nofo.md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playbooks/nofo-gap-analysis.md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Agentic Pink-team gap-analysis pass over a NOFO draft ORBITAL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playbooks/audit-report-composer.md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Auditor orchestration: color-team chain + audit bundle + email/PDF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 (concept taught; pipeline mechanics not)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playbooks/sbir-capture-workflow.md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SBIR/STTR capture workflow — Shipley gates adapted to SBIR timescale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</w:tbl>
    <w:bookmarkEnd w:id="53"/>
    <w:bookmarkStart w:id="54" w:name="X6bcb54824b32289888dabdb5f3a643a0221ef39"/>
    <w:p>
      <w:pPr>
        <w:pStyle w:val="Heading2"/>
      </w:pPr>
      <w:r>
        <w:t xml:space="preserve">2.2</w:t>
      </w:r>
      <w:r>
        <w:t xml:space="preserve"> </w:t>
      </w:r>
      <w:r>
        <w:rPr>
          <w:rStyle w:val="VerbatimChar"/>
        </w:rPr>
        <w:t xml:space="preserve">playbooks/apmp/</w:t>
      </w:r>
      <w:r>
        <w:t xml:space="preserve"> </w:t>
      </w:r>
      <w:r>
        <w:t xml:space="preserve">— APMP production-discipline playbooks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playbooks/apmp/apmp-proposal-flow.md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proposal-flow narrative (gate 5 → 6)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;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playbooks/apmp/apmp-compliance-matrix.md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compliance-matrix construction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playbooks/apmp/apmp-storyboard.md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storyboard authoring (theme/discriminator per frame)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;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playbooks/apmp/apmp-color-teams.md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color-team review process (Blue→Pink→Red→Gold)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playbooks/apmp/apmp-white-glove.md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white-glove final pass (production polish, zero content changes)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</w:pPr>
          </w:p>
        </w:tc>
      </w:tr>
    </w:tbl>
    <w:bookmarkEnd w:id="54"/>
    <w:bookmarkStart w:id="55" w:name="Xb0ff9bfcf3383972169d55aa2c1e56a7c378b7b"/>
    <w:p>
      <w:pPr>
        <w:pStyle w:val="Heading2"/>
      </w:pPr>
      <w:r>
        <w:t xml:space="preserve">2.3 Structural playbooks (</w:t>
      </w:r>
      <w:r>
        <w:rPr>
          <w:rStyle w:val="VerbatimChar"/>
        </w:rPr>
        <w:t xml:space="preserve">volumes/</w:t>
      </w:r>
      <w:r>
        <w:t xml:space="preserve">,</w:t>
      </w:r>
      <w:r>
        <w:t xml:space="preserve"> </w:t>
      </w:r>
      <w:r>
        <w:rPr>
          <w:rStyle w:val="VerbatimChar"/>
        </w:rPr>
        <w:t xml:space="preserve">pricing/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compliance-matrix/</w:t>
      </w:r>
      <w:r>
        <w:t xml:space="preserve">,</w:t>
      </w:r>
      <w:r>
        <w:t xml:space="preserve"> </w:t>
      </w:r>
      <w:r>
        <w:rPr>
          <w:rStyle w:val="VerbatimChar"/>
        </w:rPr>
        <w:t xml:space="preserve">documents/</w:t>
      </w:r>
      <w:r>
        <w:t xml:space="preserve">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playbooks/volumes/technical-volume.yaml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volume outline (Volume I)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;</w:t>
            </w:r>
            <w:r>
              <w:t xml:space="preserve"> </w:t>
            </w:r>
            <w:hyperlink r:id="rId46">
              <w:r>
                <w:rPr>
                  <w:rStyle w:val="Hyperlink"/>
                </w:rPr>
                <w:t xml:space="preserve">doctrine/06-orbital-business-structure.md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playbooks/volumes/management-volume.yaml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Management volume outline (Volume II)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playbooks/volumes/past-performance-volume.yaml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Past-performance volume outline (Volume III, FAR 15.305(a)(2))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;</w:t>
            </w:r>
            <w:r>
              <w:t xml:space="preserve"> </w:t>
            </w: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playbooks/pricing/cost-volume.yaml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Cost/price volume structure (Volume IV)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playbooks/pricing/boe-template.yaml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Basis-of-estimate template</w:t>
            </w:r>
          </w:p>
        </w:tc>
        <w:tc>
          <w:tcPr/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playbooks/pricing/labor-categories.yaml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Labor-category catalog (GSA rate ranges, OPM equivalencies)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playbooks/compliance-matrix/compliance-matrix.yaml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RFP compliance-matrix column structure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playbooks/documents/capability-statement.yaml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capability-statement format</w:t>
            </w:r>
          </w:p>
        </w:tc>
        <w:tc>
          <w:tcPr/>
          <w:p>
            <w:pPr>
              <w:pStyle w:val="Compact"/>
              <w:jc w:val="left"/>
            </w:pP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;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playbooks/documents/key-personnel-resume.yaml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Key-personnel resume format (FAR)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playbooks/documents/org-chart.yaml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organizational-chart structure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</w:tbl>
    <w:bookmarkEnd w:id="55"/>
    <w:bookmarkStart w:id="56" w:name="vehicle-funder-agency-overlays"/>
    <w:p>
      <w:pPr>
        <w:pStyle w:val="Heading2"/>
      </w:pPr>
      <w:r>
        <w:t xml:space="preserve">2.4 Vehicle / funder / agency overlays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playbooks/gsa/alliant-3-sb.md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GSA Alliant 3 Small Business full-lifecycle playbook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playbooks/gsa/gsa-aas-capture.md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Alias → Alliant 3 SB (AAS = procurement-office name for the Alliant family)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playbooks/gsa/gsa-mas.md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GSA Multiple Award Schedule playbook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playbooks/gsa/oasis-plus.md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OASIS+ vehicle playbook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playbooks/sbir/phase-i.md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Phase I playbook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45">
              <w:r>
                <w:rPr>
                  <w:rStyle w:val="Hyperlink"/>
                </w:rPr>
                <w:t xml:space="preserve">modules/undergraduate/README.md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playbooks/sbir/phase-ii.md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Phase II playbook (TRL assessment, transition)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playbooks/sbir/phase-iii.md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Phase III playbook (commercialization)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playbooks/sbir-proposals/_base.md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proposal overlay base template</w:t>
            </w:r>
          </w:p>
        </w:tc>
        <w:tc>
          <w:tcPr/>
          <w:p>
            <w:pPr>
              <w:pStyle w:val="Compact"/>
              <w:jc w:val="left"/>
            </w:pPr>
            <w:hyperlink r:id="rId45">
              <w:r>
                <w:rPr>
                  <w:rStyle w:val="Hyperlink"/>
                </w:rPr>
                <w:t xml:space="preserve">modules/undergraduate/README.md</w:t>
              </w:r>
            </w:hyperlink>
            <w:r>
              <w:t xml:space="preserve">;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playbooks/sbir-proposals/dod-sbir.md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DoD SBIR proposal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playbooks/sbir-proposals/doe-sbir.md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 SBIR/STTR proposal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playbooks/sbir-proposals/nasa-sbir.md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NASA SBIR proposal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playbooks/sbir-proposals/nih-sbir.md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NIH SBIR proposal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playbooks/sbir-proposals/nsf-sbir.md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NSF SBIR proposal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playbooks/sbir-proposals/state-ca-calseed.md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California CALSEED state-SBIR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playbooks/sbir-proposals/state-ma-massventures-start.md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Massachusetts MassVentures START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playbooks/sbir-proposals/state-ny-nystar-fuzehub.md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York NYSTAR FuzeHub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playbooks/sbir-proposals/state-oh-third-frontier.md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Ohio Third Frontier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playbooks/sbir-proposals/state-tx-product-development.md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Texas Product Development &amp; SBIR overlay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playbooks/agency/doe-scoring.yaml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 review-panel scoring overlay (Auditor)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(no course; candidate for DL 304 / GE 630)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playbooks/agency/dol-scoring.yaml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DOL review-panel scoring overlay (Auditor)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playbooks/agency/nih-scoring.yaml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NIH review-panel scoring overlay (Auditor)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playbooks/agency/nsf-scoring.yaml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NSF review-panel scoring overlay (Auditor)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playbooks/agency/eda-pweaa.md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EDA PWEAA agency overlay (Auditor)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</w:tbl>
    <w:bookmarkEnd w:id="56"/>
    <w:bookmarkStart w:id="57" w:name="workflow-spine"/>
    <w:p>
      <w:pPr>
        <w:pStyle w:val="Heading2"/>
      </w:pPr>
      <w:r>
        <w:t xml:space="preserve">2.5 Workflow spine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playbooks/dream-sequence/autonomous-capture-dream-sequence.yaml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14-phase autonomous-capture workflow spine composing Track/Dash/Agent/Analyzer/DNA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;</w:t>
            </w:r>
            <w:r>
              <w:t xml:space="preserve"> </w:t>
            </w: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 (concept taught; workflow mechanics not)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7"/>
    <w:bookmarkEnd w:id="58"/>
    <w:bookmarkStart w:id="62" w:name="X9a1d782c96d5280f64f04127702d0f132814f4c"/>
    <w:p>
      <w:pPr>
        <w:pStyle w:val="Heading1"/>
      </w:pPr>
      <w:r>
        <w:t xml:space="preserve">3.</w:t>
      </w:r>
      <w:r>
        <w:t xml:space="preserve"> </w:t>
      </w:r>
      <w:r>
        <w:rPr>
          <w:rStyle w:val="VerbatimChar"/>
        </w:rPr>
        <w:t xml:space="preserve">formulas/</w:t>
      </w:r>
      <w:r>
        <w:t xml:space="preserve"> </w:t>
      </w:r>
      <w:r>
        <w:t xml:space="preserve">— stdlib-only executable doctrine (Python CLIs + paired descriptors)</w:t>
      </w:r>
    </w:p>
    <w:p>
      <w:pPr>
        <w:pStyle w:val="FirstParagraph"/>
      </w:pPr>
      <w:r>
        <w:rPr>
          <w:i/>
          <w:iCs/>
        </w:rPr>
        <w:t xml:space="preserve">Each descriptor (</w:t>
      </w:r>
      <w:r>
        <w:rPr>
          <w:rStyle w:val="VerbatimChar"/>
          <w:i/>
          <w:iCs/>
        </w:rPr>
        <w:t xml:space="preserve">*.formula.yaml</w:t>
      </w:r>
      <w:r>
        <w:rPr>
          <w:i/>
          <w:iCs/>
        </w:rPr>
        <w:t xml:space="preserve">) carries the semantic contract; each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*.py</w:t>
      </w:r>
      <w:r>
        <w:rPr>
          <w:i/>
          <w:iCs/>
        </w:rPr>
        <w:t xml:space="preserve"> </w:t>
      </w:r>
      <w:r>
        <w:rPr>
          <w:i/>
          <w:iCs/>
        </w:rPr>
        <w:t xml:space="preserve">is the stdlib-only CLI. Both are the same doctrine. Descriptors validate against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schemas/formula.schema.json</w:t>
      </w:r>
      <w:r>
        <w:rPr>
          <w:i/>
          <w:iCs/>
        </w:rPr>
        <w:t xml:space="preserve">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formulas/pwin-shipley.formula.yaml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pwin_scorer.py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Shipley-aligned probability-of-win composite (seven weighted criteria)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;</w:t>
            </w:r>
            <w:r>
              <w:t xml:space="preserve"> </w:t>
            </w:r>
            <w:hyperlink r:id="rId59">
              <w:r>
                <w:rPr>
                  <w:rStyle w:val="Hyperlink"/>
                </w:rPr>
                <w:t xml:space="preserve">course/undergraduate-220-pricing-and-price-to-win-fundamentals.md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formulas/bid-no-bid-rubric.formula.yaml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bid_no_bid_rubric.py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Discrete bid/no-bid disposition (Shipley gate-3 input)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formulas/pricing-to-win.formula.yaml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pricing_to_win.py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Price-to-win competitive target estimator with floor enforcement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;</w:t>
            </w:r>
            <w:r>
              <w:t xml:space="preserve"> </w:t>
            </w:r>
            <w:hyperlink r:id="rId60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formulas/loe-burdened-rate.formula.yaml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loe_burdened_rate.py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Layered burdened-labor-rate composer (fringe/overhead/G&amp;A/fee)</w:t>
            </w:r>
          </w:p>
        </w:tc>
        <w:tc>
          <w:tcPr/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;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formulas/capture-readiness-index.formula.yaml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capture_readiness_index.py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ORBITAL-axis composite capture-readiness scorer (gate 4)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formulas/readiness-score.formula.yaml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readiness_score.py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Pre-submission readiness score (distinct from pWin; Auditor)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formulas/gap-point-delta.formula.yaml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gap_point_delta.py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Per-gap point-delta calculator (Auditor NOFO scoring)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formulas/incumbency-pressure.formula.yaml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incumbency_pressure.py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Incumbency-pressure composite (competitor-graph fact → 0–1 score)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;</w:t>
            </w:r>
            <w:r>
              <w:t xml:space="preserve"> </w:t>
            </w:r>
            <w:hyperlink r:id="rId61">
              <w:r>
                <w:rPr>
                  <w:rStyle w:val="Hyperlink"/>
                </w:rPr>
                <w:t xml:space="preserve">modules/graduate/microeconomics-of-procurement.md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formulas/teaming-recommender.formula.yaml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teaming_recommender.py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partner ranker (7-dimension partner rubric)</w:t>
            </w:r>
          </w:p>
        </w:tc>
        <w:tc>
          <w:tcPr/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formulas/trl-assessment.formula.yaml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trl_assessment.py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NASA TRL 1–9 assessment scorer (SBIR Phase II)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 </w:t>
            </w:r>
            <w:r>
              <w:t xml:space="preserve">(TRL concept)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formulas/rice-score.formula.yaml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rice_score.py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RICE prioritization scorer (Reach×Impact×Confidence/Effort)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(portfolio-prioritization; candidate for MBA portfolio session)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formulas/compliance_parser.py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RFP requirements extraction → compliance matrix (legacy; no descriptor)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formulas/pricing_validator.py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Cost-volume validation against GSA rate ranges (legacy)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formulas/quality_gate.py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Pre-submission quality checks + color-team rubrics (legacy)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formulas/risk_score.py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Pursuit risk-register scoring with mitigation tracking (legacy)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formulas/grant_compliance_checker.py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Deterministic grants-compliance checker (sidecar of NOFO gap analysis)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formulas/strategic_positioning_checker.py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Deterministic strategic-positioning checker (Gold-team scaffold)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formulas/audit_bundle_composer.py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Audit-bundle assembly (E28)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formulas/calibration/calibration_metrics.py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Sequencing calibration metrics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(ML calibration; no course)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formulas/calibration/drift_detector.py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Model-drift detector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formulas/calibration/isotonic.py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Isotonic recalibration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formulas/calibration/recalibration_proposer.py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Recalibration proposal generator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formulas/README.md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Formula authoring conventions + CLI contract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(index doc)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2"/>
    <w:bookmarkStart w:id="67" w:name="X1144597fb58c41829ac65b0758ef45531713bde"/>
    <w:p>
      <w:pPr>
        <w:pStyle w:val="Heading1"/>
      </w:pPr>
      <w:r>
        <w:t xml:space="preserve">4.</w:t>
      </w:r>
      <w:r>
        <w:t xml:space="preserve"> </w:t>
      </w:r>
      <w:r>
        <w:rPr>
          <w:rStyle w:val="VerbatimChar"/>
        </w:rPr>
        <w:t xml:space="preserve">prompts/</w:t>
      </w:r>
      <w:r>
        <w:t xml:space="preserve"> </w:t>
      </w:r>
      <w:r>
        <w:t xml:space="preserve">— personas and stage prompts (system prompts per Dream Agent operating mode)</w:t>
      </w:r>
    </w:p>
    <w:bookmarkStart w:id="63" w:name="personas-promptspersonas"/>
    <w:p>
      <w:pPr>
        <w:pStyle w:val="Heading2"/>
      </w:pPr>
      <w:r>
        <w:t xml:space="preserve">4.1 Personas (</w:t>
      </w:r>
      <w:r>
        <w:rPr>
          <w:rStyle w:val="VerbatimChar"/>
        </w:rPr>
        <w:t xml:space="preserve">prompts/personas/</w:t>
      </w:r>
      <w:r>
        <w:t xml:space="preserve">)</w:t>
      </w:r>
    </w:p>
    <w:p>
      <w:pPr>
        <w:pStyle w:val="FirstParagraph"/>
      </w:pPr>
      <w:r>
        <w:rPr>
          <w:i/>
          <w:iCs/>
        </w:rPr>
        <w:t xml:space="preserve">Each persona is a pair: the Markdown body (authoritative) + a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.prompt.yaml</w:t>
      </w:r>
      <w:r>
        <w:rPr>
          <w:i/>
          <w:iCs/>
        </w:rPr>
        <w:t xml:space="preserve"> </w:t>
      </w:r>
      <w:r>
        <w:rPr>
          <w:i/>
          <w:iCs/>
        </w:rPr>
        <w:t xml:space="preserve">descriptor (validated against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schemas/prompt.schema.json</w:t>
      </w:r>
      <w:r>
        <w:rPr>
          <w:i/>
          <w:iCs/>
        </w:rPr>
        <w:t xml:space="preserve">). All nine compose on top of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prompts/system-base.md</w:t>
      </w:r>
      <w:r>
        <w:rPr>
          <w:i/>
          <w:iCs/>
        </w:rPr>
        <w:t xml:space="preserve"> </w:t>
      </w:r>
      <w:r>
        <w:rPr>
          <w:i/>
          <w:iCs/>
        </w:rPr>
        <w:t xml:space="preserve">(ADR 0007).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Persona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capture-manager.md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capture-lifecycle orchestration (gates 1–4)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proposal-manager.md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proposal-production orchestration (gate 5)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compliance-officer.md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L/M decomposition + traceability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price-to-win.md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pricing analysis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;</w:t>
            </w:r>
            <w:r>
              <w:t xml:space="preserve"> </w:t>
            </w:r>
            <w:hyperlink r:id="rId60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past-performance-narrator.md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15.305(a)(2) record selection + framing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bid-no-bid-analyst.md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gate-3 disposition support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discriminator-analyst.md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Discriminators + ghost themes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storyboard-author.md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storyboard production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trl-assessor.md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.prompt.yaml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NASA TRL 1–9 scoring (SBIR Phase II)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 </w:t>
            </w:r>
            <w:r>
              <w:t xml:space="preserve">(TRL)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persona-base.md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Shared persona contract (inheritance base)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(technical base)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personas/README.md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 roster + authoring rules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(index doc)</w:t>
            </w:r>
          </w:p>
        </w:tc>
      </w:tr>
    </w:tbl>
    <w:bookmarkEnd w:id="63"/>
    <w:bookmarkStart w:id="64" w:name="X5178e38593e3529533bd39b7692363e8fadd4ad"/>
    <w:p>
      <w:pPr>
        <w:pStyle w:val="Heading2"/>
      </w:pPr>
      <w:r>
        <w:t xml:space="preserve">4.2 Critics (</w:t>
      </w:r>
      <w:r>
        <w:rPr>
          <w:rStyle w:val="VerbatimChar"/>
        </w:rPr>
        <w:t xml:space="preserve">prompts/critics/</w:t>
      </w:r>
      <w:r>
        <w:t xml:space="preserve">) — the color-team panel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pink-team.md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panel: compliance + structure completeness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;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red-team.md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Second panel: adversarial evaluator read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gold-team.md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Third panel: storytelling / persuasion / differentiation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white-glove.md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Fourth panel: compliance precision (Section L/M cross-walk)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above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black-hat.md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panel: hostile evaluator + rival capture manager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 </w:t>
            </w:r>
            <w:r>
              <w:t xml:space="preserve">(Black-Hat)</w:t>
            </w:r>
          </w:p>
        </w:tc>
        <w:tc>
          <w:tcPr/>
          <w:p>
            <w:pPr>
              <w:pStyle w:val="Compact"/>
            </w:pPr>
          </w:p>
        </w:tc>
      </w:tr>
    </w:tbl>
    <w:bookmarkEnd w:id="64"/>
    <w:bookmarkStart w:id="65" w:name="X09d4e3fd8a2fbf832ed45b69d15c0cc95cd11a1"/>
    <w:p>
      <w:pPr>
        <w:pStyle w:val="Heading2"/>
      </w:pPr>
      <w:r>
        <w:t xml:space="preserve">4.3 Stage prompts (</w:t>
      </w:r>
      <w:r>
        <w:rPr>
          <w:rStyle w:val="VerbatimChar"/>
        </w:rPr>
        <w:t xml:space="preserve">prompts/stages/</w:t>
      </w:r>
      <w:r>
        <w:t xml:space="preserve">) — one per pipeline operating stage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Stage prompt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discovery.md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Discovery stage (Source Now / opportunity ID)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doctrine/03-the-pursuit-pipeline.md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qualification.md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Qualification stage (bid/no-bid, teaming)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capture.md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stage (engagement, competitive analysis, readiness)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proposal.md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stage (decode, strategy, production)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review.md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stage (color teams, orals)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handoff.md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Handoff stage (submission, post-submission, lessons)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doctrine/10-post-submission-and-win.md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</w:tbl>
    <w:bookmarkEnd w:id="65"/>
    <w:bookmarkStart w:id="66" w:name="master-utility-prompts"/>
    <w:p>
      <w:pPr>
        <w:pStyle w:val="Heading2"/>
      </w:pPr>
      <w:r>
        <w:t xml:space="preserve">4.4 Master / utility prompts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system-base.md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Master system prompt every persona composes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(executor base; not a taught object)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dream-agent.md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Master Dream Agent operating prompt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(executor; not a taught object)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audit-email-tone.md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White-Glove rendering calibration for audit emails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(rendering; not a taught object)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6"/>
    <w:bookmarkEnd w:id="67"/>
    <w:bookmarkStart w:id="71" w:name="X0650b45d23ae2afa2b4ffe1f0d1c56173df5426"/>
    <w:p>
      <w:pPr>
        <w:pStyle w:val="Heading1"/>
      </w:pPr>
      <w:r>
        <w:t xml:space="preserve">5.</w:t>
      </w:r>
      <w:r>
        <w:t xml:space="preserve"> </w:t>
      </w:r>
      <w:r>
        <w:rPr>
          <w:rStyle w:val="VerbatimChar"/>
        </w:rPr>
        <w:t xml:space="preserve">rag-corpus/</w:t>
      </w:r>
      <w:r>
        <w:t xml:space="preserve"> </w:t>
      </w:r>
      <w:r>
        <w:t xml:space="preserve">— retrieval-grounded reference material</w:t>
      </w:r>
    </w:p>
    <w:p>
      <w:pPr>
        <w:pStyle w:val="FirstParagraph"/>
      </w:pPr>
      <w:r>
        <w:rPr>
          <w:i/>
          <w:iCs/>
        </w:rPr>
        <w:t xml:space="preserve">Each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.md</w:t>
      </w:r>
      <w:r>
        <w:rPr>
          <w:i/>
          <w:iCs/>
        </w:rPr>
        <w:t xml:space="preserve"> </w:t>
      </w:r>
      <w:r>
        <w:rPr>
          <w:i/>
          <w:iCs/>
        </w:rPr>
        <w:t xml:space="preserve">chunk pairs with a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.rag.yaml</w:t>
      </w:r>
      <w:r>
        <w:rPr>
          <w:i/>
          <w:iCs/>
        </w:rPr>
        <w:t xml:space="preserve"> </w:t>
      </w:r>
      <w:r>
        <w:rPr>
          <w:i/>
          <w:iCs/>
        </w:rPr>
        <w:t xml:space="preserve">descriptor (provenance, retrieval hints, freshness) validated against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schemas/rag.schema.json</w:t>
      </w:r>
      <w:r>
        <w:rPr>
          <w:i/>
          <w:iCs/>
        </w:rPr>
        <w:t xml:space="preserve">. Chunks are reference material Dream Agent retrieves; they are not executable rules.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rag-corpus/shipley-capture-proposal-guide/shipley-capture-readiness.md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Capture-readiness criteria (gate 4)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rag-corpus/shipley-capture-proposal-guide/shipley-capture-window.md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pre-RFP capture window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rag-corpus/shipley-capture-proposal-guide/shipley-color-team-cadence.md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Color-team cadence (Pink→Red→Gold→White)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rag-corpus/shipley-capture-proposal-guide/shipley-compliance-spine.md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 as the spine (Section L/M/C/CDRL flow-down)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rag-corpus/shipley-capture-proposal-guide/shipley-customer-centric-framing.md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Customer-centric framing / the</w:t>
            </w:r>
            <w:r>
              <w:t xml:space="preserve"> </w:t>
            </w:r>
            <w:r>
              <w:t xml:space="preserve">“</w:t>
            </w:r>
            <w:r>
              <w:t xml:space="preserve">you will</w:t>
            </w:r>
            <w:r>
              <w:t xml:space="preserve">”</w:t>
            </w:r>
            <w:r>
              <w:t xml:space="preserve"> </w:t>
            </w:r>
            <w:r>
              <w:t xml:space="preserve">test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rag-corpus/shipley-capture-proposal-guide/shipley-debrief-value.md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Debrief as the highest-information source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doctrine/10-post-submission-and-win.md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rag-corpus/shipley-capture-proposal-guide/shipley-discriminators-vs-baselines.md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Discriminators vs. baseline features (three-check test)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rag-corpus/shipley-capture-proposal-guide/shipley-ghost-themes.md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Ghost themes (evidence-backed)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rag-corpus/shipley-capture-proposal-guide/shipley-persuasive-writing-patterns.md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Persuasive-writing patterns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rag-corpus/shipley-capture-proposal-guide/shipley-price-as-strategy.md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as strategy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rag-corpus/shipley-citations.md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working bibliography (paraphrased; license-clean)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literacy/industry-standard-canon.md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rag-corpus/apmp-bok/apmp-color-team-discipline.md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color-team discipline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rag-corpus/apmp-bok/apmp-compliance-management.md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compliance management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doctrine/02-rfps-and-solicitations.md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rag-corpus/apmp-bok/apmp-executive-summary.md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executive-summary discipline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rag-corpus/apmp-bok/apmp-finding-specificity.md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finding-specificity rule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rag-corpus/apmp-bok/apmp-production-discipline.md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production discipline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rag-corpus/apmp-bok/apmp-reviewer-independence.md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reviewer independence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rag-corpus/apmp-bok/apmp-storyboard-discipline.md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storyboard discipline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rag-corpus/apmp-bok/apmp-win-themes-and-discriminators.md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win themes + discriminators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rag-corpus/apmp-references.md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working bibliography (paraphrased; license-clean)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literacy/industry-standard-canon.md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rag-corpus/far-clauses.md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FAR/DFARS clause references</w:t>
            </w:r>
          </w:p>
        </w:tc>
        <w:tc>
          <w:tcPr/>
          <w:p>
            <w:pPr>
              <w:pStyle w:val="Compact"/>
              <w:jc w:val="left"/>
            </w:pPr>
            <w:hyperlink r:id="rId68">
              <w:r>
                <w:rPr>
                  <w:rStyle w:val="Hyperlink"/>
                </w:rPr>
                <w:t xml:space="preserve">course/undergraduate-301-procurement-law-and-far-fundamentals.md</w:t>
              </w:r>
            </w:hyperlink>
            <w:r>
              <w:t xml:space="preserve">;</w:t>
            </w:r>
            <w:r>
              <w:t xml:space="preserve"> </w:t>
            </w:r>
            <w:hyperlink r:id="rId69">
              <w:r>
                <w:rPr>
                  <w:rStyle w:val="Hyperlink"/>
                </w:rPr>
                <w:t xml:space="preserve">literacy/further-reading.md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rag-corpus/sba-size-standards.md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size-standards reference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rag-corpus/sba-naics-sbir-gsa/naics-overview.md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NAICS overview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rag-corpus/sba-naics-sbir-gsa/sba-affiliation-rules.md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affiliation rules</w:t>
            </w:r>
          </w:p>
        </w:tc>
        <w:tc>
          <w:tcPr/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rag-corpus/sba-naics-sbir-gsa/sba-joint-venture-rules.md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joint-venture rules</w:t>
            </w:r>
          </w:p>
        </w:tc>
        <w:tc>
          <w:tcPr/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rag-corpus/sba-naics-sbir-gsa/sba-limitations-on-subcontracting.md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limitations on subcontracting (LOS)</w:t>
            </w:r>
          </w:p>
        </w:tc>
        <w:tc>
          <w:tcPr/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  <w:r>
              <w:t xml:space="preserve">;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rag-corpus/sba-naics-sbir-gsa/sba-set-aside-types.md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set-aside types (HUBZone, 8(a), WOSB/VOSB, SDVOSB)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rag-corpus/sba-naics-sbir-gsa/sba-size-standards-overview.md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size-standards overview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rag-corpus/sba-naics-sbir-gsa/gsa-vehicle-landscape.md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GSA vehicle landscape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rag-corpus/sba-naics-sbir-gsa/gsa-alliant-3-sb-onramp.md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GSA Alliant 3 SB onramp</w:t>
            </w:r>
          </w:p>
        </w:tc>
        <w:tc>
          <w:tcPr/>
          <w:p>
            <w:pPr>
              <w:pStyle w:val="Compact"/>
              <w:jc w:val="left"/>
            </w:pPr>
            <w:hyperlink r:id="rId37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rag-corpus/sba-naics-sbir-gsa/sbir-agency-cadence.md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agency cadence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rag-corpus/sba-naics-sbir-gsa/sbir-data-rights.md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data-rights rules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;</w:t>
            </w:r>
            <w:r>
              <w:t xml:space="preserve"> </w:t>
            </w:r>
            <w:hyperlink r:id="rId45">
              <w:r>
                <w:rPr>
                  <w:rStyle w:val="Hyperlink"/>
                </w:rPr>
                <w:t xml:space="preserve">modules/undergraduate/README.md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rag-corpus/sba-naics-sbir-gsa/sbir-phase-progression.md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SBIR phase progression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rag-corpus/dreamlimited-past-performance/army-sbir-ai-interoperability.md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 PP record: Army SBIR AI interoperability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doctrine/07-lifecycle-dream-orbital-world.md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rag-corpus/dreamlimited-past-performance/army-xtech-esscp-ai-source-selection.md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 PP record: Army xTech ESCP AI source 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rag-corpus/dreamlimited-past-performance/dod-quickdoc-ai-healthcare.md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 PP record: DoD QuickDoc AI healthcare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rag-corpus/dreamlimited-past-performance/doe-igniite-2025-energy.md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 PP record: DOE Ignite 2025 energy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rag-corpus/dreamlimited-past-performance/nsf-exlent-experiential-learning.md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 PP record: NSF ExLENT experiential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rag-corpus/dreamlimited-past-performance/historical-bid-decisions/decisions.yaml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 bid-decision log (pursued/declined/awarded)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rag-corpus/winners-by-agency/{doe,dol,eda-pweaa,nih,nsf}/&lt;agency&gt;-agency-review-panel-norms.md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Agency review-panel norms (5 agencies)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rag-corpus/winners-by-agency/{doe,dol,eda-pweaa,nih,nsf}/&lt;agency&gt;-pattern-{named-anchor-employer-partnership,positioning-coherence,quantified-outcome-target,sustainability-continuation-mechanism}.md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Historical-winner thematic patterns (5 agencies × 4 patterns)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(strategic positioning);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rag-corpus/won-proposals/{doe,dol,eda-pweaa,nih,nsf}/&lt;agency&gt;-composite-{01-named-anchor-employer-partnership,02-quantified-outcome-target,03-sustainability-continuation-mechanism,04-positioning-coherence}.md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Composite won-proposal narratives (5 agencies × 4 patterns)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70">
              <w:r>
                <w:rPr>
                  <w:rStyle w:val="Hyperlink"/>
                </w:rPr>
                <w:t xml:space="preserve">practice/exercises.md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rag-corpus/won-proposals/{doe,dol,eda-pweaa,nih,nsf}/&lt;agency&gt;-composite-full-narrative.md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composite won-proposal narratives (5 agencies)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1"/>
    <w:bookmarkStart w:id="72" w:name="X6c109eed448369693a77db87e9779355b593aac"/>
    <w:p>
      <w:pPr>
        <w:pStyle w:val="Heading1"/>
      </w:pPr>
      <w:r>
        <w:t xml:space="preserve">6. Supporting (non-content) layers — for completeness</w:t>
      </w:r>
    </w:p>
    <w:p>
      <w:pPr>
        <w:pStyle w:val="FirstParagraph"/>
      </w:pPr>
      <w:r>
        <w:rPr>
          <w:i/>
          <w:iCs/>
        </w:rPr>
        <w:t xml:space="preserve">Not taught material; these are the machine-adjacent scaffolding of the DNA package.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schemas/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common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manifest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</w:t>
            </w:r>
            <w:r>
              <w:t xml:space="preserve"> </w:t>
            </w:r>
            <w:r>
              <w:rPr>
                <w:rStyle w:val="VerbatimChar"/>
              </w:rPr>
              <w:t xml:space="preserve">.schema.json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JSON schemas the CI validates content against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contracts/v1/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calibration-drift-signal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competitor-graph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recalibration-registry-entry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teaming-recommendation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watchlist</w:t>
            </w:r>
            <w:r>
              <w:t xml:space="preserve"> </w:t>
            </w:r>
            <w:r>
              <w:t xml:space="preserve">+ examples)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API contracts for cross-repo features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docs/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agent-contract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ato-evidence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formula-reference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licensing-*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no-fork-policy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past-performance-handling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rag-retrieval-policy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releases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runbook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nist-800-53-mapping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migration-growth-accelerator-capture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decisions/*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Operator/architecture documentation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_examples/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k8s/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.gitlab-ci.yml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dna-manifest.yaml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VERSIONING.md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CHANGELOG.md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 scaffolding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2"/>
    <w:bookmarkStart w:id="75" w:name="X24923ef6f9ead08af644452fb4afc7f4cae6f54"/>
    <w:p>
      <w:pPr>
        <w:pStyle w:val="Heading1"/>
      </w:pPr>
      <w:r>
        <w:t xml:space="preserve">7. The gap list — DNA content with NO curriculum home</w:t>
      </w:r>
    </w:p>
    <w:p>
      <w:pPr>
        <w:pStyle w:val="FirstParagraph"/>
      </w:pPr>
      <w:r>
        <w:rPr>
          <w:i/>
          <w:iCs/>
        </w:rPr>
        <w:t xml:space="preserve">This is the list the integrator records for the next build wave. Each item is a real DNA artifact at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v0.18.2</w:t>
      </w:r>
      <w:r>
        <w:rPr>
          <w:i/>
          <w:iCs/>
        </w:rPr>
        <w:t xml:space="preserve"> </w:t>
      </w:r>
      <w:r>
        <w:rPr>
          <w:i/>
          <w:iCs/>
        </w:rPr>
        <w:t xml:space="preserve">that no current curriculum module teaches.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DNA artifact(s)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it matters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Suggested curriculum home for a future wave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rules/nist-800-53/*</w:t>
            </w:r>
            <w:r>
              <w:t xml:space="preserve"> </w:t>
            </w:r>
            <w:r>
              <w:t xml:space="preserve">(21 files)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Security/ATO compliance mapping — a full taught module in many programs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DL 301 (procurement law) security week, or a new DL 306 security elective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formulas/calibration/*</w:t>
            </w:r>
            <w:r>
              <w:t xml:space="preserve"> </w:t>
            </w:r>
            <w:r>
              <w:t xml:space="preserve">(4 modules)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Sequencing ML calibration — the learning loop’s math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Doctoral tier (</w:t>
            </w:r>
            <w:hyperlink r:id="rId73">
              <w:r>
                <w:rPr>
                  <w:rStyle w:val="Hyperlink"/>
                </w:rPr>
                <w:t xml:space="preserve">modules/doctoral/research-agenda.md</w:t>
              </w:r>
            </w:hyperlink>
            <w:r>
              <w:t xml:space="preserve">) — calibration as a research method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formulas/rice-score.formula.yaml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rice_score.py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RICE portfolio prioritization — a standard product/portfolio tool</w:t>
            </w:r>
          </w:p>
        </w:tc>
        <w:tc>
          <w:tcPr/>
          <w:p>
            <w:pPr>
              <w:pStyle w:val="Compact"/>
              <w:jc w:val="left"/>
            </w:pP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 </w:t>
            </w:r>
            <w:r>
              <w:t xml:space="preserve">(portfolio session) or</w:t>
            </w:r>
            <w:r>
              <w:t xml:space="preserve"> </w:t>
            </w:r>
            <w:hyperlink r:id="rId43">
              <w:r>
                <w:rPr>
                  <w:rStyle w:val="Hyperlink"/>
                </w:rPr>
                <w:t xml:space="preserve">modules/strategic-initiative.md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rules/agent-budgets.yaml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Agent-fund spend control — the economics of autonomy</w:t>
            </w:r>
          </w:p>
        </w:tc>
        <w:tc>
          <w:tcPr/>
          <w:p>
            <w:pPr>
              <w:pStyle w:val="Compact"/>
              <w:jc w:val="left"/>
            </w:pPr>
            <w:hyperlink r:id="rId43">
              <w:r>
                <w:rPr>
                  <w:rStyle w:val="Hyperlink"/>
                </w:rPr>
                <w:t xml:space="preserve">modules/strategic-initiative.md</w:t>
              </w:r>
            </w:hyperlink>
            <w:r>
              <w:t xml:space="preserve"> </w:t>
            </w:r>
            <w:r>
              <w:t xml:space="preserve">(governance session)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rules/funding-rationale-tags.yaml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Funding-rationale vocabulary on Gate cards</w:t>
            </w:r>
          </w:p>
        </w:tc>
        <w:tc>
          <w:tcPr/>
          <w:p>
            <w:pPr>
              <w:pStyle w:val="Compact"/>
              <w:jc w:val="left"/>
            </w:pPr>
            <w:hyperlink r:id="rId39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 </w:t>
            </w:r>
            <w:r>
              <w:t xml:space="preserve">(budget axis)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prompts/system-base.md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prompts/dream-agent.md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prompts/audit-email-tone.md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Executor/rendering 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curriculum material by design — document in the machine-ops layer, not taught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playbooks/agency/{doe,dol,nih,nsf}-scoring.yaml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eda-pweaa.md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Agency-specific Auditor overlays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 </w:t>
            </w:r>
            <w:r>
              <w:t xml:space="preserve">(GE 630) or DL 304 data literacy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rag-corpus/won-proposals/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rag-corpus/winners-by-agency/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Historical-winner pattern corpus</w:t>
            </w:r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doctrine/09</w:t>
              </w:r>
            </w:hyperlink>
            <w:r>
              <w:t xml:space="preserve"> </w:t>
            </w:r>
            <w:r>
              <w:t xml:space="preserve">+</w:t>
            </w:r>
            <w:r>
              <w:t xml:space="preserve"> </w:t>
            </w:r>
            <w:hyperlink r:id="rId70">
              <w:r>
                <w:rPr>
                  <w:rStyle w:val="Hyperlink"/>
                </w:rPr>
                <w:t xml:space="preserve">practice/exercises.md</w:t>
              </w:r>
            </w:hyperlink>
            <w:r>
              <w:t xml:space="preserve"> </w:t>
            </w:r>
            <w:r>
              <w:t xml:space="preserve">as a reading assignment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DCAA / CAS / TINA</w:t>
            </w:r>
            <w:r>
              <w:t xml:space="preserve"> </w:t>
            </w:r>
            <w:r>
              <w:t xml:space="preserve">(no dedicated artifact)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cost-accounting legal spine — taught in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GC 540</w:t>
              </w:r>
            </w:hyperlink>
            <w:r>
              <w:t xml:space="preserve"> </w:t>
            </w:r>
            <w:r>
              <w:t xml:space="preserve">but not encoded in DNA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</w:t>
            </w:r>
            <w:r>
              <w:t xml:space="preserve"> </w:t>
            </w:r>
            <w:r>
              <w:rPr>
                <w:rStyle w:val="VerbatimChar"/>
              </w:rPr>
              <w:t xml:space="preserve">rag-corpus/dcaa-cas-tina/</w:t>
            </w:r>
            <w:r>
              <w:t xml:space="preserve"> </w:t>
            </w:r>
            <w:r>
              <w:t xml:space="preserve">chunk + possible</w:t>
            </w:r>
            <w:r>
              <w:t xml:space="preserve"> </w:t>
            </w:r>
            <w:r>
              <w:rPr>
                <w:rStyle w:val="VerbatimChar"/>
              </w:rPr>
              <w:t xml:space="preserve">rules/cost-accounting.yaml</w:t>
            </w:r>
          </w:p>
        </w:tc>
      </w:tr>
    </w:tbl>
    <w:p>
      <w:pPr>
        <w:pStyle w:val="BodyText"/>
      </w:pPr>
      <w:r>
        <w:rPr>
          <w:i/>
          <w:iCs/>
        </w:rPr>
        <w:t xml:space="preserve">(See</w:t>
      </w:r>
      <w:r>
        <w:rPr>
          <w:i/>
          <w:iCs/>
        </w:rPr>
        <w:t xml:space="preserve"> </w:t>
      </w:r>
      <w:hyperlink r:id="rId74">
        <w:r>
          <w:rPr>
            <w:rStyle w:val="VerbatimChar"/>
            <w:i/>
            <w:iCs/>
          </w:rPr>
          <w:t xml:space="preserve">shipley-dna-fusion-map.md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Part D for the reverse list — Shipley disciplines with incomplete DNA homes.)</w:t>
      </w:r>
    </w:p>
    <w:bookmarkEnd w:id="7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course/undergraduate-210-capture-and-pursuit-pipeline.md" TargetMode="External"/><Relationship Id="rId39" Type="http://schemas.openxmlformats.org/officeDocument/2006/relationships/hyperlink" Target="../modules/mba.md" TargetMode="External"/><Relationship Id="rId68" Type="http://schemas.openxmlformats.org/officeDocument/2006/relationships/hyperlink" Target="../course/undergraduate-301-procurement-law-and-far-fundamentals.md" TargetMode="External"/><Relationship Id="rId34" Type="http://schemas.openxmlformats.org/officeDocument/2006/relationships/hyperlink" Target="../doctrine/07-lifecycle-dream-orbital-world.md" TargetMode="External"/><Relationship Id="rId50" Type="http://schemas.openxmlformats.org/officeDocument/2006/relationships/hyperlink" Target="../literacy/how-to-read-an-rfp.md" TargetMode="External"/><Relationship Id="rId42" Type="http://schemas.openxmlformats.org/officeDocument/2006/relationships/hyperlink" Target="../modules/shared-core.md" TargetMode="External"/><Relationship Id="rId76" Type="http://schemas.openxmlformats.org/officeDocument/2006/relationships/customXml" Target="../customXml/item2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9" Type="http://schemas.openxmlformats.org/officeDocument/2006/relationships/hyperlink" Target="../doctrine/05-scoring-and-price-to-win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37" Type="http://schemas.openxmlformats.org/officeDocument/2006/relationships/hyperlink" Target="../course/undergraduate-303-government-contracts-and-subcontracting.md" TargetMode="External"/><Relationship Id="rId40" Type="http://schemas.openxmlformats.org/officeDocument/2006/relationships/hyperlink" Target="../doctrine/02-rfps-and-solicitations.md" TargetMode="External"/><Relationship Id="rId32" Type="http://schemas.openxmlformats.org/officeDocument/2006/relationships/hyperlink" Target="../doctrine/10-post-submission-and-win.md" TargetMode="External"/><Relationship Id="rId24" Type="http://schemas.openxmlformats.org/officeDocument/2006/relationships/hyperlink" Target="../literacy/industry-standard-canon.md" TargetMode="External"/><Relationship Id="rId45" Type="http://schemas.openxmlformats.org/officeDocument/2006/relationships/hyperlink" Target="../modules/undergraduate/README.md" TargetMode="External"/><Relationship Id="rId74" Type="http://schemas.openxmlformats.org/officeDocument/2006/relationships/hyperlink" Target="shipley-dna-fusion-map.md" TargetMode="External"/><Relationship Id="rId5" Type="http://schemas.openxmlformats.org/officeDocument/2006/relationships/fontTable" Target="fontTable.xml"/><Relationship Id="rId28" Type="http://schemas.openxmlformats.org/officeDocument/2006/relationships/hyperlink" Target="../modules/graduate/elective-competitive-market-intelligence.md" TargetMode="External"/><Relationship Id="rId36" Type="http://schemas.openxmlformats.org/officeDocument/2006/relationships/hyperlink" Target="../modules/graduate/elective-teaming-jv-subcontracting.md" TargetMode="External"/><Relationship Id="rId61" Type="http://schemas.openxmlformats.org/officeDocument/2006/relationships/hyperlink" Target="../modules/graduate/microeconomics-of-procurement.md" TargetMode="External"/><Relationship Id="rId44" Type="http://schemas.openxmlformats.org/officeDocument/2006/relationships/hyperlink" Target="../doctrine/01-where-the-money-lives.md" TargetMode="External"/><Relationship Id="rId52" Type="http://schemas.openxmlformats.org/officeDocument/2006/relationships/hyperlink" Target="../literacy/how-to-read-a-nofo.md" TargetMode="External"/><Relationship Id="rId73" Type="http://schemas.openxmlformats.org/officeDocument/2006/relationships/hyperlink" Target="../modules/doctoral/research-agenda.md" TargetMode="External"/><Relationship Id="rId60" Type="http://schemas.openxmlformats.org/officeDocument/2006/relationships/hyperlink" Target="../modules/graduate/elective-negotiations-pricing-posture.md" TargetMode="External"/><Relationship Id="rId31" Type="http://schemas.openxmlformats.org/officeDocument/2006/relationships/hyperlink" Target="../modules/graduate/elective-proposal-management-color-teams.md" TargetMode="External"/><Relationship Id="rId4" Type="http://schemas.openxmlformats.org/officeDocument/2006/relationships/webSettings" Target="webSettings.xml"/><Relationship Id="rId27" Type="http://schemas.openxmlformats.org/officeDocument/2006/relationships/hyperlink" Target="../doctrine/09-capture-and-competitive-strategy.md" TargetMode="External"/><Relationship Id="rId69" Type="http://schemas.openxmlformats.org/officeDocument/2006/relationships/hyperlink" Target="../literacy/further-reading.md" TargetMode="External"/><Relationship Id="rId30" Type="http://schemas.openxmlformats.org/officeDocument/2006/relationships/hyperlink" Target="../literacy/how-color-teams-work.md" TargetMode="External"/><Relationship Id="rId35" Type="http://schemas.openxmlformats.org/officeDocument/2006/relationships/hyperlink" Target="../literacy/the-four-volumes.md" TargetMode="External"/><Relationship Id="rId43" Type="http://schemas.openxmlformats.org/officeDocument/2006/relationships/hyperlink" Target="../modules/strategic-initiative.md" TargetMode="External"/><Relationship Id="rId77" Type="http://schemas.openxmlformats.org/officeDocument/2006/relationships/customXml" Target="../customXml/item3.xml"/><Relationship Id="rId8" Type="http://schemas.openxmlformats.org/officeDocument/2006/relationships/comments" Target="comments.xml"/><Relationship Id="rId51" Type="http://schemas.openxmlformats.org/officeDocument/2006/relationships/hyperlink" Target="../course/undergraduate-302-proposal-production-and-compliance.md" TargetMode="External"/><Relationship Id="rId3" Type="http://schemas.openxmlformats.org/officeDocument/2006/relationships/settings" Target="settings.xml"/><Relationship Id="rId59" Type="http://schemas.openxmlformats.org/officeDocument/2006/relationships/hyperlink" Target="../course/undergraduate-220-pricing-and-price-to-win-fundamentals.md" TargetMode="External"/><Relationship Id="rId33" Type="http://schemas.openxmlformats.org/officeDocument/2006/relationships/hyperlink" Target="../doctrine/03-the-pursuit-pipeline.md" TargetMode="External"/><Relationship Id="rId25" Type="http://schemas.openxmlformats.org/officeDocument/2006/relationships/hyperlink" Target="../doctrine/04-gates-and-governance.md" TargetMode="External"/><Relationship Id="rId46" Type="http://schemas.openxmlformats.org/officeDocument/2006/relationships/hyperlink" Target="../doctrine/06-orbital-business-structure.md" TargetMode="External"/><Relationship Id="rId38" Type="http://schemas.openxmlformats.org/officeDocument/2006/relationships/hyperlink" Target="../modules/graduate/advanced-finance.md" TargetMode="External"/><Relationship Id="rId41" Type="http://schemas.openxmlformats.org/officeDocument/2006/relationships/hyperlink" Target="../modules/mpa.md" TargetMode="External"/><Relationship Id="rId70" Type="http://schemas.openxmlformats.org/officeDocument/2006/relationships/hyperlink" Target="../practice/exercises.md" TargetMode="External"/><Relationship Id="rId75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../course/undergraduate-210-capture-and-pursuit-pipeline.md" TargetMode="External" /><Relationship Type="http://schemas.openxmlformats.org/officeDocument/2006/relationships/hyperlink" Id="rId59" Target="../course/undergraduate-220-pricing-and-price-to-win-fundamentals.md" TargetMode="External" /><Relationship Type="http://schemas.openxmlformats.org/officeDocument/2006/relationships/hyperlink" Id="rId68" Target="../course/undergraduate-301-procurement-law-and-far-fundamentals.md" TargetMode="External" /><Relationship Type="http://schemas.openxmlformats.org/officeDocument/2006/relationships/hyperlink" Id="rId51" Target="../course/undergraduate-302-proposal-production-and-compliance.md" TargetMode="External" /><Relationship Type="http://schemas.openxmlformats.org/officeDocument/2006/relationships/hyperlink" Id="rId37" Target="../course/undergraduate-303-government-contracts-and-subcontracting.md" TargetMode="External" /><Relationship Type="http://schemas.openxmlformats.org/officeDocument/2006/relationships/hyperlink" Id="rId44" Target="../doctrine/01-where-the-money-lives.md" TargetMode="External" /><Relationship Type="http://schemas.openxmlformats.org/officeDocument/2006/relationships/hyperlink" Id="rId40" Target="../doctrine/02-rfps-and-solicitations.md" TargetMode="External" /><Relationship Type="http://schemas.openxmlformats.org/officeDocument/2006/relationships/hyperlink" Id="rId33" Target="../doctrine/03-the-pursuit-pipeline.md" TargetMode="External" /><Relationship Type="http://schemas.openxmlformats.org/officeDocument/2006/relationships/hyperlink" Id="rId25" Target="../doctrine/04-gates-and-governance.md" TargetMode="External" /><Relationship Type="http://schemas.openxmlformats.org/officeDocument/2006/relationships/hyperlink" Id="rId29" Target="../doctrine/05-scoring-and-price-to-win.md" TargetMode="External" /><Relationship Type="http://schemas.openxmlformats.org/officeDocument/2006/relationships/hyperlink" Id="rId46" Target="../doctrine/06-orbital-business-structure.md" TargetMode="External" /><Relationship Type="http://schemas.openxmlformats.org/officeDocument/2006/relationships/hyperlink" Id="rId34" Target="../doctrine/07-lifecycle-dream-orbital-world.md" TargetMode="External" /><Relationship Type="http://schemas.openxmlformats.org/officeDocument/2006/relationships/hyperlink" Id="rId27" Target="../doctrine/09-capture-and-competitive-strategy.md" TargetMode="External" /><Relationship Type="http://schemas.openxmlformats.org/officeDocument/2006/relationships/hyperlink" Id="rId32" Target="../doctrine/10-post-submission-and-win.md" TargetMode="External" /><Relationship Type="http://schemas.openxmlformats.org/officeDocument/2006/relationships/hyperlink" Id="rId69" Target="../literacy/further-reading.md" TargetMode="External" /><Relationship Type="http://schemas.openxmlformats.org/officeDocument/2006/relationships/hyperlink" Id="rId30" Target="../literacy/how-color-teams-work.md" TargetMode="External" /><Relationship Type="http://schemas.openxmlformats.org/officeDocument/2006/relationships/hyperlink" Id="rId52" Target="../literacy/how-to-read-a-nofo.md" TargetMode="External" /><Relationship Type="http://schemas.openxmlformats.org/officeDocument/2006/relationships/hyperlink" Id="rId50" Target="../literacy/how-to-read-an-rfp.md" TargetMode="External" /><Relationship Type="http://schemas.openxmlformats.org/officeDocument/2006/relationships/hyperlink" Id="rId24" Target="../literacy/industry-standard-canon.md" TargetMode="External" /><Relationship Type="http://schemas.openxmlformats.org/officeDocument/2006/relationships/hyperlink" Id="rId35" Target="../literacy/the-four-volumes.md" TargetMode="External" /><Relationship Type="http://schemas.openxmlformats.org/officeDocument/2006/relationships/hyperlink" Id="rId73" Target="../modules/doctoral/research-agenda.md" TargetMode="External" /><Relationship Type="http://schemas.openxmlformats.org/officeDocument/2006/relationships/hyperlink" Id="rId38" Target="../modules/graduate/advanced-finance.md" TargetMode="External" /><Relationship Type="http://schemas.openxmlformats.org/officeDocument/2006/relationships/hyperlink" Id="rId28" Target="../modules/graduate/elective-competitive-market-intelligence.md" TargetMode="External" /><Relationship Type="http://schemas.openxmlformats.org/officeDocument/2006/relationships/hyperlink" Id="rId60" Target="../modules/graduate/elective-negotiations-pricing-posture.md" TargetMode="External" /><Relationship Type="http://schemas.openxmlformats.org/officeDocument/2006/relationships/hyperlink" Id="rId31" Target="../modules/graduate/elective-proposal-management-color-teams.md" TargetMode="External" /><Relationship Type="http://schemas.openxmlformats.org/officeDocument/2006/relationships/hyperlink" Id="rId36" Target="../modules/graduate/elective-teaming-jv-subcontracting.md" TargetMode="External" /><Relationship Type="http://schemas.openxmlformats.org/officeDocument/2006/relationships/hyperlink" Id="rId61" Target="../modules/graduate/microeconomics-of-procurement.md" TargetMode="External" /><Relationship Type="http://schemas.openxmlformats.org/officeDocument/2006/relationships/hyperlink" Id="rId39" Target="../modules/mba.md" TargetMode="External" /><Relationship Type="http://schemas.openxmlformats.org/officeDocument/2006/relationships/hyperlink" Id="rId41" Target="../modules/mpa.md" TargetMode="External" /><Relationship Type="http://schemas.openxmlformats.org/officeDocument/2006/relationships/hyperlink" Id="rId42" Target="../modules/shared-core.md" TargetMode="External" /><Relationship Type="http://schemas.openxmlformats.org/officeDocument/2006/relationships/hyperlink" Id="rId43" Target="../modules/strategic-initiative.md" TargetMode="External" /><Relationship Type="http://schemas.openxmlformats.org/officeDocument/2006/relationships/hyperlink" Id="rId45" Target="../modules/undergraduate/README.md" TargetMode="External" /><Relationship Type="http://schemas.openxmlformats.org/officeDocument/2006/relationships/hyperlink" Id="rId70" Target="../practice/exercises.md" TargetMode="External" /><Relationship Type="http://schemas.openxmlformats.org/officeDocument/2006/relationships/hyperlink" Id="rId74" Target="shipley-dna-fusion-map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B80CE980-3EDA-4776-B23B-31A21F3B9FB8}"/>
</file>

<file path=customXml/itemProps2.xml><?xml version="1.0" encoding="utf-8"?>
<ds:datastoreItem xmlns:ds="http://schemas.openxmlformats.org/officeDocument/2006/customXml" ds:itemID="{6A1A4F9E-73F2-492F-87E4-7A3DA7811F76}"/>
</file>

<file path=customXml/itemProps3.xml><?xml version="1.0" encoding="utf-8"?>
<ds:datastoreItem xmlns:ds="http://schemas.openxmlformats.org/officeDocument/2006/customXml" ds:itemID="{F6AB92E1-85E1-43D0-BCF4-32E465C0FDC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2026-08-05T17:25:36Z</dcterms:created>
  <dcterms:modified xsi:type="dcterms:W3CDTF">2026-08-05T17:25:36Z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