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align-concept-system-map"/>
    <w:p>
      <w:pPr>
        <w:pStyle w:val="Heading1"/>
      </w:pPr>
      <w:r>
        <w:t xml:space="preserve">align/ — Concept ↔ System Map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concept ↔ system mapping</w:t>
      </w:r>
      <w:r>
        <w:t xml:space="preserve"> </w:t>
      </w:r>
      <w:r>
        <w:t xml:space="preserve">between this curriculum and the machine-side encodings of the same doctrine lives in</w:t>
      </w:r>
      <w:r>
        <w:t xml:space="preserve"> </w:t>
      </w:r>
      <w:hyperlink r:id="rId20">
        <w:r>
          <w:rPr>
            <w:rStyle w:val="VerbatimChar"/>
            <w:b/>
            <w:bCs/>
          </w:rPr>
          <w:t xml:space="preserve">align/concept-to-system-map.md</w:t>
        </w:r>
      </w:hyperlink>
      <w:r>
        <w:t xml:space="preserve"> </w:t>
      </w:r>
      <w:r>
        <w:t xml:space="preserve">— one table per durable concept, mapping to the DNA artifact paths that encode it (verified at DNA</w:t>
      </w:r>
      <w:r>
        <w:t xml:space="preserve"> </w:t>
      </w:r>
      <w:r>
        <w:rPr>
          <w:rStyle w:val="VerbatimChar"/>
        </w:rPr>
        <w:t xml:space="preserve">v0.18.1</w:t>
      </w:r>
      <w:r>
        <w:t xml:space="preserve">).</w:t>
      </w:r>
    </w:p>
    <w:bookmarkStart w:id="21" w:name="what-belongs-here"/>
    <w:p>
      <w:pPr>
        <w:pStyle w:val="Heading2"/>
      </w:pPr>
      <w:r>
        <w:t xml:space="preserve">What belongs here</w:t>
      </w:r>
    </w:p>
    <w:p>
      <w:pPr>
        <w:pStyle w:val="Compact"/>
        <w:numPr>
          <w:ilvl w:val="0"/>
          <w:numId w:val="1001"/>
        </w:numPr>
      </w:pPr>
      <w:r>
        <w:t xml:space="preserve">A mapping from each durable concept in</w:t>
      </w:r>
      <w:r>
        <w:t xml:space="preserve"> </w:t>
      </w:r>
      <w:r>
        <w:rPr>
          <w:rStyle w:val="VerbatimChar"/>
        </w:rPr>
        <w:t xml:space="preserve">doctrine/</w:t>
      </w:r>
      <w:r>
        <w:t xml:space="preserve"> </w:t>
      </w:r>
      <w:r>
        <w:t xml:space="preserve">to its machine-side encoding(s) — where the same concept lives in the wider ecosystem’s rule/playbook/formula layer.</w:t>
      </w:r>
    </w:p>
    <w:p>
      <w:pPr>
        <w:pStyle w:val="Compact"/>
        <w:numPr>
          <w:ilvl w:val="0"/>
          <w:numId w:val="1001"/>
        </w:numPr>
      </w:pPr>
      <w:r>
        <w:t xml:space="preserve">The fusion layer: the Shipley×DNA fusion map (which Shipley concepts map to which machine encodings), the DNA corpus index (rules, formulas, playbooks, prompts, and the retrieval corpus), and the book canon.</w:t>
      </w:r>
    </w:p>
    <w:p>
      <w:pPr>
        <w:pStyle w:val="Compact"/>
        <w:numPr>
          <w:ilvl w:val="0"/>
          <w:numId w:val="1001"/>
        </w:numPr>
      </w:pPr>
      <w:r>
        <w:t xml:space="preserve">A registry of stack changes: when a tool changes, the</w:t>
      </w:r>
      <w:r>
        <w:t xml:space="preserve"> </w:t>
      </w:r>
      <w:r>
        <w:rPr>
          <w:i/>
          <w:iCs/>
        </w:rPr>
        <w:t xml:space="preserve">mapping</w:t>
      </w:r>
      <w:r>
        <w:t xml:space="preserve"> </w:t>
      </w:r>
      <w:r>
        <w:t xml:space="preserve">is updated here, never the doctrine.</w:t>
      </w:r>
    </w:p>
    <w:p>
      <w:pPr>
        <w:pStyle w:val="Compact"/>
        <w:numPr>
          <w:ilvl w:val="0"/>
          <w:numId w:val="1001"/>
        </w:numPr>
      </w:pPr>
      <w:r>
        <w:t xml:space="preserve">Alignment checks that the human-facing curriculum and the machine-facing doctrine still teach the same concepts.</w:t>
      </w:r>
    </w:p>
    <w:bookmarkEnd w:id="21"/>
    <w:bookmarkStart w:id="22" w:name="the-rule-this-directory-exists-to-hold"/>
    <w:p>
      <w:pPr>
        <w:pStyle w:val="Heading2"/>
      </w:pPr>
      <w:r>
        <w:t xml:space="preserve">The rule this directory exists to hold</w:t>
      </w:r>
    </w:p>
    <w:p>
      <w:pPr>
        <w:pStyle w:val="BlockText"/>
      </w:pPr>
      <w:r>
        <w:rPr>
          <w:b/>
          <w:bCs/>
        </w:rPr>
        <w:t xml:space="preserve">When the stack changes, update the align map, never the doctrine.</w:t>
      </w:r>
    </w:p>
    <w:p>
      <w:pPr>
        <w:pStyle w:val="FirstParagraph"/>
      </w:pPr>
      <w:r>
        <w:t xml:space="preserve">The doctrine is the shared language between the human side and the machine side. This directory is where the</w:t>
      </w:r>
      <w:r>
        <w:t xml:space="preserve"> </w:t>
      </w:r>
      <w:r>
        <w:t xml:space="preserve">“</w:t>
      </w:r>
      <w:r>
        <w:t xml:space="preserve">same concept, different encoding</w:t>
      </w:r>
      <w:r>
        <w:t xml:space="preserve">”</w:t>
      </w:r>
      <w:r>
        <w:t xml:space="preserve"> </w:t>
      </w:r>
      <w:r>
        <w:t xml:space="preserve">correspondence is kept honest.</w:t>
      </w:r>
    </w:p>
    <w:bookmarkEnd w:id="22"/>
    <w:bookmarkStart w:id="23" w:name="status"/>
    <w:p>
      <w:pPr>
        <w:pStyle w:val="Heading2"/>
      </w:pPr>
      <w:r>
        <w:t xml:space="preserve">Status</w:t>
      </w:r>
    </w:p>
    <w:p>
      <w:pPr>
        <w:pStyle w:val="FirstParagraph"/>
      </w:pPr>
      <w:r>
        <w:t xml:space="preserve">This directory is</w:t>
      </w:r>
      <w:r>
        <w:t xml:space="preserve"> </w:t>
      </w:r>
      <w:r>
        <w:rPr>
          <w:b/>
          <w:bCs/>
        </w:rPr>
        <w:t xml:space="preserve">fully populated and version-pinned</w:t>
      </w:r>
      <w:r>
        <w:t xml:space="preserve"> </w:t>
      </w:r>
      <w:r>
        <w:t xml:space="preserve">— not a stub:</w:t>
      </w:r>
    </w:p>
    <w:p>
      <w:pPr>
        <w:pStyle w:val="Compact"/>
        <w:numPr>
          <w:ilvl w:val="0"/>
          <w:numId w:val="1002"/>
        </w:numPr>
      </w:pPr>
      <w:r>
        <w:t xml:space="preserve">☒ Fill the concept ↔ system map (2026-08-05, DNA v0.18.2).</w:t>
      </w:r>
    </w:p>
    <w:p>
      <w:pPr>
        <w:pStyle w:val="Compact"/>
        <w:numPr>
          <w:ilvl w:val="0"/>
          <w:numId w:val="1002"/>
        </w:numPr>
      </w:pPr>
      <w:r>
        <w:t xml:space="preserve">☒ Extend the map into the fusion layer: the Shipley×DNA fusion map, the DNA corpus index (rules, formulas, playbooks, prompts, retrieval corpus), and the book canon.</w:t>
      </w:r>
    </w:p>
    <w:p>
      <w:pPr>
        <w:pStyle w:val="Compact"/>
        <w:numPr>
          <w:ilvl w:val="0"/>
          <w:numId w:val="1002"/>
        </w:numPr>
      </w:pPr>
      <w:r>
        <w:t xml:space="preserve">☐ Add an alignment check (drift detector) that compares this repo’s concept registry against the machine doctrine’s concept registry.</w:t>
      </w:r>
    </w:p>
    <w:p>
      <w:pPr>
        <w:pStyle w:val="FirstParagraph"/>
      </w:pPr>
      <w:r>
        <w:t xml:space="preserve">The map is the seam, not a dependency: doctrine files stay tool-agnostic, and this directory is the only place that knows what the tools are. The concept column and the government facts never change; the DNA/stack column changes when the machine-side doctrine does — record that change here, never in the doctrine files.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0" Type="http://schemas.openxmlformats.org/officeDocument/2006/relationships/hyperlink" Target="concept-to-system-map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openxmlformats.org/officeDocument/2006/relationships/customXml" Target="../customXml/item3.xml"/><Relationship Id="rId4" Type="http://schemas.openxmlformats.org/officeDocument/2006/relationships/webSettings" Target="webSettings.xml"/><Relationship Id="rId22" Type="http://schemas.openxmlformats.org/officeDocument/2006/relationships/customXml" Target="../customXml/item2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cept-to-system-map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A90A8589-1030-4373-9C54-1291738D0054}"/>
</file>

<file path=customXml/itemProps2.xml><?xml version="1.0" encoding="utf-8"?>
<ds:datastoreItem xmlns:ds="http://schemas.openxmlformats.org/officeDocument/2006/customXml" ds:itemID="{B749337E-1C9A-46D8-BE46-12FDD2FC5647}"/>
</file>

<file path=customXml/itemProps3.xml><?xml version="1.0" encoding="utf-8"?>
<ds:datastoreItem xmlns:ds="http://schemas.openxmlformats.org/officeDocument/2006/customXml" ds:itemID="{F60864F2-8906-4770-8818-E11FA80AB0AB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2026-08-05T17:25:36Z</dcterms:created>
  <dcterms:modified xsi:type="dcterms:W3CDTF">2026-08-05T17:25:36Z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