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study-plan-solo-professional"/>
    <w:p>
      <w:pPr>
        <w:pStyle w:val="Heading1"/>
      </w:pPr>
      <w:r>
        <w:t xml:space="preserve">Study Plan — Solo Professional</w:t>
      </w:r>
    </w:p>
    <w:p>
      <w:pPr>
        <w:pStyle w:val="FirstParagraph"/>
      </w:pPr>
      <w:r>
        <w:rPr>
          <w:i/>
          <w:iCs/>
        </w:rPr>
        <w:t xml:space="preserve">A week-by-week path for a working professional learning solo — about 8 weeks at 3–4 hours a week. You have real-world context, so the plan moves faster through the doctrine and spends your scarce hours on the practice and the artifacts.</w:t>
      </w:r>
    </w:p>
    <w:p>
      <w:pPr>
        <w:pStyle w:val="BlockText"/>
      </w:pPr>
      <w:r>
        <w:rPr>
          <w:b/>
          <w:bCs/>
        </w:rPr>
        <w:t xml:space="preserve">How to use this plan.</w:t>
      </w:r>
      <w:r>
        <w:t xml:space="preserve"> </w:t>
      </w:r>
      <w:r>
        <w:t xml:space="preserve">Each week is one focused block.</w:t>
      </w:r>
      <w:r>
        <w:t xml:space="preserve"> </w:t>
      </w:r>
      <w:r>
        <w:t xml:space="preserve">“</w:t>
      </w:r>
      <w:r>
        <w:t xml:space="preserve">Read</w:t>
      </w:r>
      <w:r>
        <w:t xml:space="preserve">”</w:t>
      </w:r>
      <w:r>
        <w:t xml:space="preserve"> </w:t>
      </w:r>
      <w:r>
        <w:t xml:space="preserve">is the doctrine + a literacy map;</w:t>
      </w:r>
      <w:r>
        <w:t xml:space="preserve"> </w:t>
      </w:r>
      <w:r>
        <w:t xml:space="preserve">“</w:t>
      </w:r>
      <w:r>
        <w:t xml:space="preserve">Do</w:t>
      </w:r>
      <w:r>
        <w:t xml:space="preserve">”</w:t>
      </w:r>
      <w:r>
        <w:t xml:space="preserve"> </w:t>
      </w:r>
      <w:r>
        <w:t xml:space="preserve">is the practice bank;</w:t>
      </w:r>
      <w:r>
        <w:t xml:space="preserve"> </w:t>
      </w:r>
      <w:r>
        <w:t xml:space="preserve">“</w:t>
      </w:r>
      <w:r>
        <w:t xml:space="preserve">Produce</w:t>
      </w:r>
      <w:r>
        <w:t xml:space="preserve">”</w:t>
      </w:r>
      <w:r>
        <w:t xml:space="preserve"> </w:t>
      </w:r>
      <w:r>
        <w:t xml:space="preserve">is a concrete artifact you can show someone (your manager, a hiring panel, a future teammate);</w:t>
      </w:r>
      <w:r>
        <w:t xml:space="preserve"> </w:t>
      </w:r>
      <w:r>
        <w:t xml:space="preserve">“</w:t>
      </w:r>
      <w:r>
        <w:t xml:space="preserve">Check</w:t>
      </w:r>
      <w:r>
        <w:t xml:space="preserve">”</w:t>
      </w:r>
      <w:r>
        <w:t xml:space="preserve"> </w:t>
      </w:r>
      <w:r>
        <w:t xml:space="preserve">is the answer keys + re-reading what you missed. Keep the</w:t>
      </w:r>
      <w:r>
        <w:t xml:space="preserve"> </w:t>
      </w:r>
      <w:hyperlink r:id="rId20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open as your model — it is the whole discipline, done once, with the reasoning visible.</w:t>
      </w:r>
    </w:p>
    <w:p>
      <w:pPr>
        <w:pStyle w:val="FirstParagraph"/>
      </w:pPr>
      <w:r>
        <w:rPr>
          <w:b/>
          <w:bCs/>
        </w:rPr>
        <w:t xml:space="preserve">Your materials:</w:t>
      </w:r>
      <w:r>
        <w:t xml:space="preserve"> </w:t>
      </w:r>
      <w:r>
        <w:t xml:space="preserve">the doctrine, the literacy, the practice bank + answer keys, the worked exemplar, the</w:t>
      </w:r>
      <w:r>
        <w:t xml:space="preserve"> </w:t>
      </w:r>
      <w:hyperlink r:id="rId21">
        <w:r>
          <w:rPr>
            <w:rStyle w:val="Hyperlink"/>
          </w:rPr>
          <w:t xml:space="preserve">Ravonics case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Your object:</w:t>
      </w:r>
      <w:r>
        <w:t xml:space="preserve"> </w:t>
      </w:r>
      <w:r>
        <w:t xml:space="preserve">by week 3, pick a real,</w:t>
      </w:r>
      <w:r>
        <w:t xml:space="preserve"> </w:t>
      </w:r>
      <w:r>
        <w:rPr>
          <w:i/>
          <w:iCs/>
        </w:rPr>
        <w:t xml:space="preserve">published and closed</w:t>
      </w:r>
      <w:r>
        <w:t xml:space="preserve"> </w:t>
      </w:r>
      <w:r>
        <w:t xml:space="preserve">solicitation from SAM.gov or Grants.gov that fits your actual organization (or a firm you want to work with). It becomes your personal project for the whole plan.</w:t>
      </w:r>
    </w:p>
    <w:p>
      <w:r>
        <w:pict>
          <v:rect style="width:0;height:1.5pt" o:hralign="center" o:hrstd="t" o:hr="t"/>
        </w:pict>
      </w:r>
    </w:p>
    <w:bookmarkStart w:id="24" w:name="week-1-the-shape-of-the-market"/>
    <w:p>
      <w:pPr>
        <w:pStyle w:val="Heading2"/>
      </w:pPr>
      <w:r>
        <w:t xml:space="preserve">Week 1 — The shape of the market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Read:</w:t>
      </w:r>
      <w:r>
        <w:t xml:space="preserve"> </w:t>
      </w:r>
      <w:r>
        <w:t xml:space="preserve">doctrine/01, doctrine/02, and</w:t>
      </w:r>
      <w:r>
        <w:t xml:space="preserve"> </w:t>
      </w:r>
      <w:hyperlink r:id="rId22">
        <w:r>
          <w:rPr>
            <w:rStyle w:val="Hyperlink"/>
          </w:rPr>
          <w:t xml:space="preserve">where-the-money-flows</w:t>
        </w:r>
      </w:hyperlink>
      <w:r>
        <w:t xml:space="preserve">. Skim the glossary (</w:t>
      </w:r>
      <w:hyperlink r:id="rId23">
        <w:r>
          <w:rPr>
            <w:rStyle w:val="Hyperlink"/>
          </w:rPr>
          <w:t xml:space="preserve">literacy/glossary</w:t>
        </w:r>
      </w:hyperlink>
      <w:r>
        <w:t xml:space="preserve">) as a reference.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Do:</w:t>
      </w:r>
      <w:r>
        <w:t xml:space="preserve"> </w:t>
      </w:r>
      <w:r>
        <w:t xml:space="preserve">practice D01-E2, D01-E3, D02-E2.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a half-page answer to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where does the money live for my organization?</w:t>
      </w:r>
      <w:r>
        <w:rPr>
          <w:i/>
          <w:iCs/>
        </w:rPr>
        <w:t xml:space="preserve">”</w:t>
      </w:r>
      <w:r>
        <w:t xml:space="preserve"> </w:t>
      </w:r>
      <w:r>
        <w:t xml:space="preserve">— the agencies, the NAICS codes, the vehicles, the certification posture. This is your entry point, in writing.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answers D01-E2/E3, D02-E2.</w:t>
      </w:r>
    </w:p>
    <w:bookmarkEnd w:id="24"/>
    <w:bookmarkStart w:id="25" w:name="X3e27c9c36b643205e34d17b051431b65ef1ca6e"/>
    <w:p>
      <w:pPr>
        <w:pStyle w:val="Heading2"/>
      </w:pPr>
      <w:r>
        <w:t xml:space="preserve">Week 2 — The pipeline as a decision machine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Read:</w:t>
      </w:r>
      <w:r>
        <w:t xml:space="preserve"> </w:t>
      </w:r>
      <w:r>
        <w:t xml:space="preserve">doctrine/03, doctrine/04.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Do:</w:t>
      </w:r>
      <w:r>
        <w:t xml:space="preserve"> </w:t>
      </w:r>
      <w:r>
        <w:t xml:space="preserve">practice D03-E2, D03-E3, D04-E2.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the gate charter for</w:t>
      </w:r>
      <w:r>
        <w:t xml:space="preserve"> </w:t>
      </w:r>
      <w:r>
        <w:rPr>
          <w:i/>
          <w:iCs/>
        </w:rPr>
        <w:t xml:space="preserve">one</w:t>
      </w:r>
      <w:r>
        <w:t xml:space="preserve"> </w:t>
      </w:r>
      <w:r>
        <w:t xml:space="preserve">pursuit your organization actually faces (or should face) — the bid/no-bid, threshold, and readiness gates with criteria written in advance, evidence, and an owner for each.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answers D03-E2/E3, D04-E2, SI-E3 (the gate-charter model).</w:t>
      </w:r>
    </w:p>
    <w:bookmarkEnd w:id="25"/>
    <w:bookmarkStart w:id="28" w:name="week-3-read-one-document-for-real"/>
    <w:p>
      <w:pPr>
        <w:pStyle w:val="Heading2"/>
      </w:pPr>
      <w:r>
        <w:t xml:space="preserve">Week 3 — Read one document for real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Pick your solicitation</w:t>
      </w:r>
      <w:r>
        <w:t xml:space="preserve"> </w:t>
      </w:r>
      <w:r>
        <w:t xml:space="preserve">(see above).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Read:</w:t>
      </w:r>
      <w:r>
        <w:t xml:space="preserve"> </w:t>
      </w:r>
      <w:r>
        <w:t xml:space="preserve">the full</w:t>
      </w:r>
      <w:r>
        <w:t xml:space="preserve"> </w:t>
      </w:r>
      <w:hyperlink r:id="rId26">
        <w:r>
          <w:rPr>
            <w:rStyle w:val="Hyperlink"/>
          </w:rPr>
          <w:t xml:space="preserve">how-to-read-an-rfp</w:t>
        </w:r>
      </w:hyperlink>
      <w:r>
        <w:t xml:space="preserve"> </w:t>
      </w:r>
      <w:r>
        <w:t xml:space="preserve">or</w:t>
      </w:r>
      <w:r>
        <w:t xml:space="preserve"> </w:t>
      </w:r>
      <w:hyperlink r:id="rId27">
        <w:r>
          <w:rPr>
            <w:rStyle w:val="Hyperlink"/>
          </w:rPr>
          <w:t xml:space="preserve">how-to-read-a-nofo</w:t>
        </w:r>
      </w:hyperlink>
      <w:r>
        <w:t xml:space="preserve"> </w:t>
      </w:r>
      <w:r>
        <w:t xml:space="preserve">map.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Do:</w:t>
      </w:r>
      <w:r>
        <w:t xml:space="preserve"> </w:t>
      </w:r>
      <w:r>
        <w:t xml:space="preserve">practice SC-E3 (compliance matrix) and SC-E4 (strategy reading) on your solicitation.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the two artifacts — the matrix (every</w:t>
      </w:r>
      <w:r>
        <w:t xml:space="preserve"> </w:t>
      </w:r>
      <w:r>
        <w:t xml:space="preserve">“</w:t>
      </w:r>
      <w:r>
        <w:t xml:space="preserve">shall,</w:t>
      </w:r>
      <w:r>
        <w:t xml:space="preserve">”</w:t>
      </w:r>
      <w:r>
        <w:t xml:space="preserve"> </w:t>
      </w:r>
      <w:r>
        <w:t xml:space="preserve">its section, where the response satisfies it) and the one-page strategy reading (what the evaluator actually cares about).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compare against the worked exemplar’s Step 3 and the answers SC-E3/E4.</w:t>
      </w:r>
    </w:p>
    <w:bookmarkEnd w:id="28"/>
    <w:bookmarkStart w:id="29" w:name="X75d1b49f8c8814be48a42367712694ae84d2966"/>
    <w:p>
      <w:pPr>
        <w:pStyle w:val="Heading2"/>
      </w:pPr>
      <w:r>
        <w:t xml:space="preserve">Week 4 — The score: turn a hunch into a number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Read:</w:t>
      </w:r>
      <w:r>
        <w:t xml:space="preserve"> </w:t>
      </w:r>
      <w:r>
        <w:t xml:space="preserve">doctrine/05.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Do:</w:t>
      </w:r>
      <w:r>
        <w:t xml:space="preserve"> </w:t>
      </w:r>
      <w:r>
        <w:t xml:space="preserve">practice D05-E2, D05-E4.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the scored pursuit sheet for your solicitation — pWin argued factor by factor with evidence, value grounded in the solicitation’s numbers, composite = pWin × value, a threshold you set in advance, and a one-paragraph bid/no-bid recommendation.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answers D05-E2/E4; compare to the worked exemplar’s Steps 2 and 5.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Bonus:</w:t>
      </w:r>
      <w:r>
        <w:t xml:space="preserve"> </w:t>
      </w:r>
      <w:r>
        <w:t xml:space="preserve">run a sensitivity check on your weakest factor — the call should survive it.</w:t>
      </w:r>
    </w:p>
    <w:bookmarkEnd w:id="29"/>
    <w:bookmarkStart w:id="30" w:name="week-5-the-orbital-structure-the-pursuit"/>
    <w:p>
      <w:pPr>
        <w:pStyle w:val="Heading2"/>
      </w:pPr>
      <w:r>
        <w:t xml:space="preserve">Week 5 — The ORBITAL: structure the pursuit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Read:</w:t>
      </w:r>
      <w:r>
        <w:t xml:space="preserve"> </w:t>
      </w:r>
      <w:r>
        <w:t xml:space="preserve">doctrine/06.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Do:</w:t>
      </w:r>
      <w:r>
        <w:t xml:space="preserve"> </w:t>
      </w:r>
      <w:r>
        <w:t xml:space="preserve">practice D06-E2, D06-E3.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the seven-axis ORBITAL for your solicitation — objective, resources, budget, indicators, transport, activities, logistics — with the budget axis showing value and cost, and the logistics axis naming what must be true for the work to happen.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answers D06-E2/E3; compare to the worked exemplar’s Step 4.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Bonus:</w:t>
      </w:r>
      <w:r>
        <w:t xml:space="preserve"> </w:t>
      </w:r>
      <w:r>
        <w:t xml:space="preserve">the hardest axis is a diagnostic — if it was logistics, name the agreement/clearance/facility that must be executed; if it was indicators, sharpen the objective.</w:t>
      </w:r>
    </w:p>
    <w:bookmarkEnd w:id="30"/>
    <w:bookmarkStart w:id="31" w:name="X2af03a532be956d7e3b568292a554096c886d5f"/>
    <w:p>
      <w:pPr>
        <w:pStyle w:val="Heading2"/>
      </w:pPr>
      <w:r>
        <w:t xml:space="preserve">Week 6 — The lifecycle and your position in it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Read:</w:t>
      </w:r>
      <w:r>
        <w:t xml:space="preserve"> </w:t>
      </w:r>
      <w:r>
        <w:t xml:space="preserve">doctrine/07, doctrine/08.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Do:</w:t>
      </w:r>
      <w:r>
        <w:t xml:space="preserve"> </w:t>
      </w:r>
      <w:r>
        <w:t xml:space="preserve">practice D07-E2, D07-E3, D08-E2, D08-E3.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a half-page placement of</w:t>
      </w:r>
      <w:r>
        <w:t xml:space="preserve"> </w:t>
      </w:r>
      <w:r>
        <w:rPr>
          <w:i/>
          <w:iCs/>
        </w:rPr>
        <w:t xml:space="preserve">your organization</w:t>
      </w:r>
      <w:r>
        <w:t xml:space="preserve"> </w:t>
      </w:r>
      <w:r>
        <w:t xml:space="preserve">on the Dream → ORBITAL → World lifecycle — where it is, and the two moves that would advance it.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answers D07-E2/E3, D08-E2/E3.</w:t>
      </w:r>
    </w:p>
    <w:bookmarkEnd w:id="31"/>
    <w:bookmarkStart w:id="33" w:name="week-7-assemble-the-package"/>
    <w:p>
      <w:pPr>
        <w:pStyle w:val="Heading2"/>
      </w:pPr>
      <w:r>
        <w:t xml:space="preserve">Week 7 — Assemble the package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your</w:t>
      </w:r>
      <w:r>
        <w:t xml:space="preserve"> </w:t>
      </w:r>
      <w:r>
        <w:rPr>
          <w:b/>
          <w:bCs/>
        </w:rPr>
        <w:t xml:space="preserve">mini-capstone</w:t>
      </w:r>
      <w:r>
        <w:t xml:space="preserve"> </w:t>
      </w:r>
      <w:r>
        <w:t xml:space="preserve">(INT-E1) — all artifacts from weeks 3–5 assembled into one pursuit package: compliance matrix, strategy reading, ORBITAL, score, gate charter, and the written bid/no-bid defense.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grade yourself against the</w:t>
      </w:r>
      <w:r>
        <w:t xml:space="preserve"> </w:t>
      </w:r>
      <w:hyperlink r:id="rId32">
        <w:r>
          <w:rPr>
            <w:rStyle w:val="Hyperlink"/>
          </w:rPr>
          <w:t xml:space="preserve">capstone rubric</w:t>
        </w:r>
      </w:hyperlink>
      <w:r>
        <w:t xml:space="preserve"> </w:t>
      </w:r>
      <w:r>
        <w:t xml:space="preserve">and the worked exemplar. If your solicitation’s competition has run, do the</w:t>
      </w:r>
      <w:r>
        <w:t xml:space="preserve"> </w:t>
      </w:r>
      <w:r>
        <w:rPr>
          <w:b/>
          <w:bCs/>
        </w:rPr>
        <w:t xml:space="preserve">post-mortem</w:t>
      </w:r>
      <w:r>
        <w:t xml:space="preserve"> </w:t>
      </w:r>
      <w:r>
        <w:t xml:space="preserve">(INT-E2): look up the actual award and update your pWin factors.</w:t>
      </w:r>
    </w:p>
    <w:bookmarkEnd w:id="33"/>
    <w:bookmarkStart w:id="34" w:name="week-8-make-it-real-the-15-minute-brief"/>
    <w:p>
      <w:pPr>
        <w:pStyle w:val="Heading2"/>
      </w:pPr>
      <w:r>
        <w:t xml:space="preserve">Week 8 — Make it real: the 15-minute brief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Produce:</w:t>
      </w:r>
      <w:r>
        <w:t xml:space="preserve"> </w:t>
      </w:r>
      <w:r>
        <w:t xml:space="preserve">a 15-minute brief of your pursuit package, as if presenting to a decision-maker — the recommendation up front, the score, the structure, the defense. Deliver it to a colleague, a manager, or the mirror (record yourself).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Check:</w:t>
      </w:r>
      <w:r>
        <w:t xml:space="preserve"> </w:t>
      </w:r>
      <w:r>
        <w:t xml:space="preserve">did the brief survive questioning? The strongest briefs are the ones where the numbers and the structure do the talking.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Next step:</w:t>
      </w:r>
      <w:r>
        <w:t xml:space="preserve"> </w:t>
      </w:r>
      <w:r>
        <w:t xml:space="preserve">repeat the loop on a second solicitation — the pattern is now yours.</w:t>
      </w:r>
    </w:p>
    <w:p>
      <w:r>
        <w:pict>
          <v:rect style="width:0;height:1.5pt" o:hralign="center" o:hrstd="t" o:hr="t"/>
        </w:pict>
      </w:r>
    </w:p>
    <w:bookmarkEnd w:id="34"/>
    <w:bookmarkStart w:id="37" w:name="X13495875995b66144015a2b40b3508eb8c1cb63"/>
    <w:p>
      <w:pPr>
        <w:pStyle w:val="Heading2"/>
      </w:pPr>
      <w:r>
        <w:t xml:space="preserve">If you’re a professional age 50+ (the Ignition Legacy Track)</w:t>
      </w:r>
    </w:p>
    <w:p>
      <w:pPr>
        <w:pStyle w:val="FirstParagraph"/>
      </w:pPr>
      <w:r>
        <w:t xml:space="preserve">The same doctrine, through the legacy sequence’s lens (M1–M9 from the</w:t>
      </w:r>
      <w:r>
        <w:t xml:space="preserve"> </w:t>
      </w:r>
      <w:hyperlink r:id="rId35">
        <w:r>
          <w:rPr>
            <w:rStyle w:val="Hyperlink"/>
          </w:rPr>
          <w:t xml:space="preserve">align map</w:t>
        </w:r>
      </w:hyperlink>
      <w:r>
        <w:t xml:space="preserve">): your experience makes the doctrine read fast, so spend your hours on the practice and the artifacts. Weeks 1–2 map to M2 (Contract Mastery) and M3 (ORBITAL); weeks 3–5 to M4 (Proposal Writing) and M5 (PWIN &amp; Dream Score); week 7’s capstone is your M9 (Legacy Builder) proof. The</w:t>
      </w:r>
      <w:r>
        <w:t xml:space="preserve"> </w:t>
      </w:r>
      <w:hyperlink r:id="rId36">
        <w:r>
          <w:rPr>
            <w:rStyle w:val="Hyperlink"/>
          </w:rPr>
          <w:t xml:space="preserve">onboarding guide</w:t>
        </w:r>
      </w:hyperlink>
      <w:r>
        <w:t xml:space="preserve"> </w:t>
      </w:r>
      <w:r>
        <w:t xml:space="preserve">has your placement.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26" Type="http://schemas.openxmlformats.org/officeDocument/2006/relationships/hyperlink" Target="../literacy/how-to-read-an-rfp.md" TargetMode="External"/><Relationship Id="rId39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yperlink" Target="../case-study/ravonics.md" TargetMode="External"/><Relationship Id="rId7" Type="http://schemas.openxmlformats.org/officeDocument/2006/relationships/footnotes" Target="footnotes.xml"/><Relationship Id="rId38" Type="http://schemas.openxmlformats.org/officeDocument/2006/relationships/customXml" Target="../customXml/item2.xml"/><Relationship Id="rId2" Type="http://schemas.openxmlformats.org/officeDocument/2006/relationships/styles" Target="styles.xml"/><Relationship Id="rId20" Type="http://schemas.openxmlformats.org/officeDocument/2006/relationships/hyperlink" Target="../practice/worked-exemplar-day-in-the-life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32" Type="http://schemas.openxmlformats.org/officeDocument/2006/relationships/hyperlink" Target="../course/assessments-and-rubric.md" TargetMode="External"/><Relationship Id="rId37" Type="http://schemas.openxmlformats.org/officeDocument/2006/relationships/customXml" Target="../customXml/item1.xml"/><Relationship Id="rId5" Type="http://schemas.openxmlformats.org/officeDocument/2006/relationships/fontTable" Target="fontTable.xml"/><Relationship Id="rId36" Type="http://schemas.openxmlformats.org/officeDocument/2006/relationships/hyperlink" Target="../guides/onboarding-and-placement.md" TargetMode="External"/><Relationship Id="rId23" Type="http://schemas.openxmlformats.org/officeDocument/2006/relationships/hyperlink" Target="../literacy/glossary.md" TargetMode="External"/><Relationship Id="rId4" Type="http://schemas.openxmlformats.org/officeDocument/2006/relationships/webSettings" Target="webSettings.xml"/><Relationship Id="rId35" Type="http://schemas.openxmlformats.org/officeDocument/2006/relationships/hyperlink" Target="../align/concept-to-system-map.md" TargetMode="External"/><Relationship Id="rId27" Type="http://schemas.openxmlformats.org/officeDocument/2006/relationships/hyperlink" Target="../literacy/how-to-read-a-nofo.md" TargetMode="External"/><Relationship Id="rId22" Type="http://schemas.openxmlformats.org/officeDocument/2006/relationships/hyperlink" Target="../literacy/where-the-money-flows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../align/concept-to-system-map.md" TargetMode="External" /><Relationship Type="http://schemas.openxmlformats.org/officeDocument/2006/relationships/hyperlink" Id="rId21" Target="../case-study/ravonics.md" TargetMode="External" /><Relationship Type="http://schemas.openxmlformats.org/officeDocument/2006/relationships/hyperlink" Id="rId32" Target="../course/assessments-and-rubric.md" TargetMode="External" /><Relationship Type="http://schemas.openxmlformats.org/officeDocument/2006/relationships/hyperlink" Id="rId36" Target="../guides/onboarding-and-placement.md" TargetMode="External" /><Relationship Type="http://schemas.openxmlformats.org/officeDocument/2006/relationships/hyperlink" Id="rId23" Target="../literacy/glossary.md" TargetMode="External" /><Relationship Type="http://schemas.openxmlformats.org/officeDocument/2006/relationships/hyperlink" Id="rId27" Target="../literacy/how-to-read-a-nofo.md" TargetMode="External" /><Relationship Type="http://schemas.openxmlformats.org/officeDocument/2006/relationships/hyperlink" Id="rId26" Target="../literacy/how-to-read-an-rfp.md" TargetMode="External" /><Relationship Type="http://schemas.openxmlformats.org/officeDocument/2006/relationships/hyperlink" Id="rId22" Target="../literacy/where-the-money-flows.md" TargetMode="External" /><Relationship Type="http://schemas.openxmlformats.org/officeDocument/2006/relationships/hyperlink" Id="rId20" Target="../practice/worked-exemplar-day-in-the-lif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10B5490-0919-43A9-A5AD-B21196A99241}"/>
</file>

<file path=customXml/itemProps2.xml><?xml version="1.0" encoding="utf-8"?>
<ds:datastoreItem xmlns:ds="http://schemas.openxmlformats.org/officeDocument/2006/customXml" ds:itemID="{18B8A97E-52CA-43E4-AAD7-76048615495E}"/>
</file>

<file path=customXml/itemProps3.xml><?xml version="1.0" encoding="utf-8"?>
<ds:datastoreItem xmlns:ds="http://schemas.openxmlformats.org/officeDocument/2006/customXml" ds:itemID="{098720C6-DD29-4185-AE72-41E91977C96D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2026-08-05T12:04:06Z</dcterms:created>
  <dcterms:modified xsi:type="dcterms:W3CDTF">2026-08-05T12:04:06Z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