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facilitator-playbook"/>
    <w:p>
      <w:pPr>
        <w:pStyle w:val="Heading1"/>
      </w:pPr>
      <w:r>
        <w:t xml:space="preserve">Facilitator Playbook</w:t>
      </w:r>
    </w:p>
    <w:p>
      <w:pPr>
        <w:pStyle w:val="FirstParagraph"/>
      </w:pPr>
      <w:r>
        <w:rPr>
          <w:i/>
          <w:iCs/>
        </w:rPr>
        <w:t xml:space="preserve">How to run a Launchpad cohort or module — the fellowship side of the doctrine. The college side has its own syllabus and modules; this playbook is for the facilitator who runs a room of fellows, professionals, or mixed learners through the same doctrine, live.</w:t>
      </w:r>
    </w:p>
    <w:p>
      <w:pPr>
        <w:pStyle w:val="BlockText"/>
      </w:pPr>
      <w:r>
        <w:rPr>
          <w:b/>
          <w:bCs/>
        </w:rPr>
        <w:t xml:space="preserve">Who this is for.</w:t>
      </w:r>
      <w:r>
        <w:t xml:space="preserve"> </w:t>
      </w:r>
      <w:r>
        <w:t xml:space="preserve">If you are leading a cohort — a Launchpad fellowship cohort, an Ignite Curiosity boot camp, a professional workshop, or a single module in a training program — this is your operating guide. It assumes the</w:t>
      </w:r>
      <w:r>
        <w:t xml:space="preserve"> </w:t>
      </w:r>
      <w:hyperlink r:id="rId20">
        <w:r>
          <w:rPr>
            <w:rStyle w:val="Hyperlink"/>
          </w:rPr>
          <w:t xml:space="preserve">module template</w:t>
        </w:r>
      </w:hyperlink>
      <w:r>
        <w:t xml:space="preserve"> </w:t>
      </w:r>
      <w:r>
        <w:t xml:space="preserve">as the session contract and the</w:t>
      </w:r>
      <w:r>
        <w:t xml:space="preserve"> </w:t>
      </w:r>
      <w:hyperlink r:id="rId21">
        <w:r>
          <w:rPr>
            <w:rStyle w:val="Hyperlink"/>
          </w:rPr>
          <w:t xml:space="preserve">shared core</w:t>
        </w:r>
      </w:hyperlink>
      <w:r>
        <w:t xml:space="preserve"> </w:t>
      </w:r>
      <w:r>
        <w:t xml:space="preserve">as the spine, and it uses the practice layer (</w:t>
      </w:r>
      <w:hyperlink r:id="rId22">
        <w:r>
          <w:rPr>
            <w:rStyle w:val="Hyperlink"/>
          </w:rPr>
          <w:t xml:space="preserve">worked exemplar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practice bank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</w:rPr>
          <w:t xml:space="preserve">answer keys</w:t>
        </w:r>
      </w:hyperlink>
      <w:r>
        <w:t xml:space="preserve">) as the engine of the room.</w:t>
      </w:r>
    </w:p>
    <w:p>
      <w:pPr>
        <w:pStyle w:val="BlockText"/>
      </w:pPr>
      <w:r>
        <w:rPr>
          <w:b/>
          <w:bCs/>
        </w:rPr>
        <w:t xml:space="preserve">The stance.</w:t>
      </w:r>
      <w:r>
        <w:t xml:space="preserve"> </w:t>
      </w:r>
      <w:r>
        <w:t xml:space="preserve">You are a facilitator, not a lecturer. The doctrine is already written — your job is to get the learners</w:t>
      </w:r>
      <w:r>
        <w:t xml:space="preserve"> </w:t>
      </w:r>
      <w:r>
        <w:rPr>
          <w:i/>
          <w:iCs/>
        </w:rPr>
        <w:t xml:space="preserve">doing</w:t>
      </w:r>
      <w:r>
        <w:t xml:space="preserve"> </w:t>
      </w:r>
      <w:r>
        <w:t xml:space="preserve">it. The best session is the one where you talked the least and the room did the most.</w:t>
      </w:r>
    </w:p>
    <w:p>
      <w:r>
        <w:pict>
          <v:rect style="width:0;height:1.5pt" o:hralign="center" o:hrstd="t" o:hr="t"/>
        </w:pict>
      </w:r>
    </w:p>
    <w:bookmarkStart w:id="25" w:name="the-cohort-model"/>
    <w:p>
      <w:pPr>
        <w:pStyle w:val="Heading2"/>
      </w:pPr>
      <w:r>
        <w:t xml:space="preserve">1. The cohort model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cohort</w:t>
      </w:r>
      <w:r>
        <w:t xml:space="preserve"> </w:t>
      </w:r>
      <w:r>
        <w:t xml:space="preserve">is a fixed group moving through the doctrine together, on a schedule, with a shared finish line. The Launchpad fellowship runs cohorts through its ladder (Ignite Curiosity → L1–L5); a professional workshop runs a compressed version. Either way, the anatomy is the same: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default for a Launchpad cohort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spine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sequence of 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hyperlink r:id="rId21">
              <w:r>
                <w:rPr>
                  <w:rStyle w:val="Hyperlink"/>
                </w:rPr>
                <w:t xml:space="preserve">shared core</w:t>
              </w:r>
            </w:hyperlink>
            <w:r>
              <w:t xml:space="preserve">: six sessions, one per doctrine cluster.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often you meet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Weekly, 60–75 minutes per session, plus homework between.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room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is in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Fellows at mixed levels (that’s normal and good).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learners do between and during 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hyperlink r:id="rId23">
              <w:r>
                <w:rPr>
                  <w:rStyle w:val="Hyperlink"/>
                </w:rPr>
                <w:t xml:space="preserve">practice bank</w:t>
              </w:r>
            </w:hyperlink>
            <w:r>
              <w:t xml:space="preserve"> </w:t>
            </w:r>
            <w:r>
              <w:t xml:space="preserve">+ the</w:t>
            </w:r>
            <w:r>
              <w:t xml:space="preserve"> </w:t>
            </w:r>
            <w:hyperlink r:id="rId22">
              <w:r>
                <w:rPr>
                  <w:rStyle w:val="Hyperlink"/>
                </w:rPr>
                <w:t xml:space="preserve">worked exemplar</w:t>
              </w:r>
            </w:hyperlink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finish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proof of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capstone-style package built on a real, closed solicitation (see §6).</w:t>
            </w:r>
          </w:p>
        </w:tc>
      </w:tr>
    </w:tbl>
    <w:p>
      <w:pPr>
        <w:pStyle w:val="BodyText"/>
      </w:pPr>
      <w:r>
        <w:t xml:space="preserve">An</w:t>
      </w:r>
      <w:r>
        <w:t xml:space="preserve"> </w:t>
      </w:r>
      <w:r>
        <w:rPr>
          <w:b/>
          <w:bCs/>
        </w:rPr>
        <w:t xml:space="preserve">8-week cohort</w:t>
      </w:r>
      <w:r>
        <w:t xml:space="preserve"> </w:t>
      </w:r>
      <w:r>
        <w:t xml:space="preserve">plan is in §7 if you want a ready-made schedule.</w:t>
      </w:r>
    </w:p>
    <w:p>
      <w:r>
        <w:pict>
          <v:rect style="width:0;height:1.5pt" o:hralign="center" o:hrstd="t" o:hr="t"/>
        </w:pict>
      </w:r>
    </w:p>
    <w:bookmarkEnd w:id="25"/>
    <w:bookmarkStart w:id="28" w:name="Xc175777f08ef8744df9edb8da91852c3765bef3"/>
    <w:p>
      <w:pPr>
        <w:pStyle w:val="Heading2"/>
      </w:pPr>
      <w:r>
        <w:t xml:space="preserve">2. Before the cohort: prepare the room, not just the slides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Set the contract.</w:t>
      </w:r>
      <w:r>
        <w:t xml:space="preserve"> </w:t>
      </w:r>
      <w:r>
        <w:t xml:space="preserve">In the first session, state plainly:</w:t>
      </w:r>
      <w:r>
        <w:t xml:space="preserve"> </w:t>
      </w:r>
      <w:r>
        <w:rPr>
          <w:i/>
          <w:iCs/>
        </w:rPr>
        <w:t xml:space="preserve">concepts are durable, tools are swappable</w:t>
      </w:r>
      <w:r>
        <w:t xml:space="preserve">; no product knowledge is required or tested; the practice is the point. (This is the whole ethos of</w:t>
      </w:r>
      <w:r>
        <w:t xml:space="preserve"> </w:t>
      </w:r>
      <w:hyperlink r:id="rId26">
        <w:r>
          <w:rPr>
            <w:rStyle w:val="Hyperlink"/>
          </w:rPr>
          <w:t xml:space="preserve">doctrine/08</w:t>
        </w:r>
      </w:hyperlink>
      <w:r>
        <w:t xml:space="preserve">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Place your learners.</w:t>
      </w:r>
      <w:r>
        <w:t xml:space="preserve"> </w:t>
      </w:r>
      <w:r>
        <w:t xml:space="preserve">Give everyone the</w:t>
      </w:r>
      <w:r>
        <w:t xml:space="preserve"> </w:t>
      </w:r>
      <w:hyperlink r:id="rId27">
        <w:r>
          <w:rPr>
            <w:rStyle w:val="Hyperlink"/>
          </w:rPr>
          <w:t xml:space="preserve">placement self-assessment</w:t>
        </w:r>
      </w:hyperlink>
      <w:r>
        <w:t xml:space="preserve"> </w:t>
      </w:r>
      <w:r>
        <w:t xml:space="preserve">before session one. Mixed levels are fine — placement tells you who needs what during the session, and it tells the learner where they start on the ladder.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Open with the exemplar.</w:t>
      </w:r>
      <w:r>
        <w:t xml:space="preserve"> </w:t>
      </w:r>
      <w:r>
        <w:t xml:space="preserve">Have every learner read the</w:t>
      </w:r>
      <w:r>
        <w:t xml:space="preserve"> </w:t>
      </w:r>
      <w:hyperlink r:id="rId22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before session one (or read it together in session one). It is the fastest way to show the whole discipline, so every later session has a shared mental picture to hang 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Read the answer keys before you teach.</w:t>
      </w:r>
      <w:r>
        <w:t xml:space="preserve"> </w:t>
      </w:r>
      <w:r>
        <w:t xml:space="preserve">You do not need to be the expert, but you must know where the answers live — the</w:t>
      </w:r>
      <w:r>
        <w:t xml:space="preserve"> </w:t>
      </w:r>
      <w:hyperlink r:id="rId24">
        <w:r>
          <w:rPr>
            <w:rStyle w:val="Hyperlink"/>
          </w:rPr>
          <w:t xml:space="preserve">answer keys</w:t>
        </w:r>
      </w:hyperlink>
      <w:r>
        <w:t xml:space="preserve"> </w:t>
      </w:r>
      <w:r>
        <w:t xml:space="preserve">give you model answers for every self-check, comprehension check, and exercise in the space. If a learner asks a question you don’t know, the honest move is</w:t>
      </w:r>
      <w:r>
        <w:t xml:space="preserve"> </w:t>
      </w:r>
      <w:r>
        <w:t xml:space="preserve">“</w:t>
      </w:r>
      <w:r>
        <w:t xml:space="preserve">let’s find it together</w:t>
      </w:r>
      <w:r>
        <w:t xml:space="preserve">”</w:t>
      </w:r>
      <w:r>
        <w:t xml:space="preserve"> </w:t>
      </w:r>
      <w:r>
        <w:t xml:space="preserve">— not a guess.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Pick a real, closed solicitation per learner.</w:t>
      </w:r>
      <w:r>
        <w:t xml:space="preserve"> </w:t>
      </w:r>
      <w:r>
        <w:t xml:space="preserve">Every learner should bring one published, closed RFP or NOFO from SAM.gov or Grants.gov to work on through the cohort. It becomes their personal capstone object.</w:t>
      </w:r>
    </w:p>
    <w:p>
      <w:r>
        <w:pict>
          <v:rect style="width:0;height:1.5pt" o:hralign="center" o:hrstd="t" o:hr="t"/>
        </w:pict>
      </w:r>
    </w:p>
    <w:bookmarkEnd w:id="28"/>
    <w:bookmarkStart w:id="29" w:name="X2be2987e5e5948d682a3dca564d5405f4c03e1c"/>
    <w:p>
      <w:pPr>
        <w:pStyle w:val="Heading2"/>
      </w:pPr>
      <w:r>
        <w:t xml:space="preserve">3. The session skeleton (the module template, made live)</w:t>
      </w:r>
    </w:p>
    <w:p>
      <w:pPr>
        <w:pStyle w:val="FirstParagraph"/>
      </w:pPr>
      <w:r>
        <w:t xml:space="preserve">Every session follows the same five beats. Keep the times; they are the discipline.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Beat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happens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Open the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Ask the session’s driving question (each shared-core session has one). Capture guesses. Do not answer it yet.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Teach the concept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15–20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Walk the assigned doctrine chapter(s). Keep it short — the reading already did the heavy lifting.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Apply it to a concrete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20–30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This is the heart. Run the matching practice-bank exercises (see the mapping in §4), or apply the concept to the learners’ own solicitation.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Discuss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10–15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the module’s discussion prompts — the ones that force a decision or a defense, not recall.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Close with the assignment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 the homework (reading + a concrete deliverable) and preview the next session.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rule that keeps the room alive:</w:t>
      </w:r>
      <w:r>
        <w:t xml:space="preserve"> </w:t>
      </w:r>
      <w:r>
        <w:rPr>
          <w:i/>
          <w:iCs/>
        </w:rPr>
        <w:t xml:space="preserve">the learners should be doing the discipline in the Apply beat.</w:t>
      </w:r>
      <w:r>
        <w:t xml:space="preserve"> </w:t>
      </w:r>
      <w:r>
        <w:t xml:space="preserve">If you are still talking at minute 25, you have lost the session. Hand them a compliance matrix, a score, an ORBITAL — let them get their hands dirty.</w:t>
      </w:r>
    </w:p>
    <w:p>
      <w:r>
        <w:pict>
          <v:rect style="width:0;height:1.5pt" o:hralign="center" o:hrstd="t" o:hr="t"/>
        </w:pict>
      </w:r>
    </w:p>
    <w:bookmarkEnd w:id="29"/>
    <w:bookmarkStart w:id="30" w:name="practice-mapping-which-exercises-when"/>
    <w:p>
      <w:pPr>
        <w:pStyle w:val="Heading2"/>
      </w:pPr>
      <w:r>
        <w:t xml:space="preserve">4. Practice mapping — which exercises, when</w:t>
      </w:r>
    </w:p>
    <w:p>
      <w:pPr>
        <w:pStyle w:val="FirstParagraph"/>
      </w:pPr>
      <w:r>
        <w:t xml:space="preserve">The shared core maps to the practice bank directly. Use this as your session engine: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Shared-core session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Practice bank to run in the room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Homework deliverable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S1 — Where the money lives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D01-E2, D01-E3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SC-E1 (money map)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S2 — The pipeline 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03, 04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D03-E2, D03-E3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SC-E2 (pipeline placement)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S3 — Reading the documents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D02-E2 (on a real RFP)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SC-E3 (compliance matrix) + SC-E4 (strategy reading)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S4 — The ORBITAL skeleton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D06-E2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D06-E3 (build an ORBITAL)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S5 — Scoring and the call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D05-E2, D05-E4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SC-E5 (scored pursuit sheet)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S6 — Lifecycle and the loop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07, 08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D07-E2, D07-E3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SC-E6 (lifecycle apply)</w:t>
            </w:r>
          </w:p>
        </w:tc>
      </w:tr>
    </w:tbl>
    <w:p>
      <w:pPr>
        <w:pStyle w:val="BodyText"/>
      </w:pPr>
      <w:r>
        <w:t xml:space="preserve">For a</w:t>
      </w:r>
      <w:r>
        <w:t xml:space="preserve"> </w:t>
      </w:r>
      <w:r>
        <w:rPr>
          <w:b/>
          <w:bCs/>
        </w:rPr>
        <w:t xml:space="preserve">track</w:t>
      </w:r>
      <w:r>
        <w:t xml:space="preserve"> </w:t>
      </w:r>
      <w:r>
        <w:t xml:space="preserve">cohort (Strategic Initiative, MBA, MPA), add the track exercises (SI-E1–E3, MBA-E1–E3, MPA-E1–E3) in the sessions that match the track’s accent. The</w:t>
      </w:r>
      <w:r>
        <w:t xml:space="preserve"> </w:t>
      </w:r>
      <w:hyperlink r:id="rId20">
        <w:r>
          <w:rPr>
            <w:rStyle w:val="Hyperlink"/>
          </w:rPr>
          <w:t xml:space="preserve">module template</w:t>
        </w:r>
      </w:hyperlink>
      <w:r>
        <w:t xml:space="preserve"> </w:t>
      </w:r>
      <w:r>
        <w:t xml:space="preserve">and the track modules tell you which sessions those are.</w:t>
      </w:r>
    </w:p>
    <w:p>
      <w:pPr>
        <w:pStyle w:val="BodyText"/>
      </w:pPr>
      <w:r>
        <w:rPr>
          <w:b/>
          <w:bCs/>
        </w:rPr>
        <w:t xml:space="preserve">On answer keys:</w:t>
      </w:r>
      <w:r>
        <w:t xml:space="preserve"> </w:t>
      </w:r>
      <w:r>
        <w:t xml:space="preserve">in the room, learners work first and check after. Use the answer keys for a</w:t>
      </w:r>
      <w:r>
        <w:t xml:space="preserve"> </w:t>
      </w:r>
      <w:r>
        <w:rPr>
          <w:i/>
          <w:iCs/>
        </w:rPr>
        <w:t xml:space="preserve">debrief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here’s the shape of a strong answer</w:t>
      </w:r>
      <w:r>
        <w:t xml:space="preserve">”</w:t>
      </w:r>
      <w:r>
        <w:t xml:space="preserve"> </w:t>
      </w:r>
      <w:r>
        <w:t xml:space="preserve">— not as a reveal before they try. The</w:t>
      </w:r>
      <w:r>
        <w:t xml:space="preserve"> </w:t>
      </w:r>
      <w:hyperlink r:id="rId23">
        <w:r>
          <w:rPr>
            <w:rStyle w:val="Hyperlink"/>
          </w:rPr>
          <w:t xml:space="preserve">exercises page</w:t>
        </w:r>
      </w:hyperlink>
      <w:r>
        <w:t xml:space="preserve"> </w:t>
      </w:r>
      <w:r>
        <w:t xml:space="preserve">says it plainly: the answer key is for checking, not for peeking.</w:t>
      </w:r>
    </w:p>
    <w:p>
      <w:r>
        <w:pict>
          <v:rect style="width:0;height:1.5pt" o:hralign="center" o:hrstd="t" o:hr="t"/>
        </w:pict>
      </w:r>
    </w:p>
    <w:bookmarkEnd w:id="30"/>
    <w:bookmarkStart w:id="32" w:name="facilitating-well-the-craft"/>
    <w:p>
      <w:pPr>
        <w:pStyle w:val="Heading2"/>
      </w:pPr>
      <w:r>
        <w:t xml:space="preserve">5. Facilitating well: the craft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Ask, don’t tell.</w:t>
      </w:r>
      <w:r>
        <w:t xml:space="preserve"> </w:t>
      </w:r>
      <w:r>
        <w:t xml:space="preserve">The best prompts start with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What would you do…</w:t>
      </w:r>
      <w:r>
        <w:rPr>
          <w:i/>
          <w:iCs/>
        </w:rP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Defend a position…</w:t>
      </w:r>
      <w:r>
        <w:rPr>
          <w:i/>
          <w:iCs/>
        </w:rPr>
        <w:t xml:space="preserve">”</w:t>
      </w:r>
      <w:r>
        <w:t xml:space="preserve"> </w:t>
      </w:r>
      <w:r>
        <w:t xml:space="preserve">— the modules are full of them. If a learner gives a wrong answer, resist correcting; ask the question that makes them find the error.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Use the pipeline as the map.</w:t>
      </w:r>
      <w:r>
        <w:t xml:space="preserve"> </w:t>
      </w:r>
      <w:r>
        <w:t xml:space="preserve">Every discussion connects back to the pipeline (</w:t>
      </w:r>
      <w:hyperlink r:id="rId31">
        <w:r>
          <w:rPr>
            <w:rStyle w:val="Hyperlink"/>
          </w:rPr>
          <w:t xml:space="preserve">doctrine/03</w:t>
        </w:r>
      </w:hyperlink>
      <w:r>
        <w:t xml:space="preserve">). When a learner asks</w:t>
      </w:r>
      <w:r>
        <w:t xml:space="preserve"> </w:t>
      </w:r>
      <w:r>
        <w:t xml:space="preserve">“</w:t>
      </w:r>
      <w:r>
        <w:t xml:space="preserve">should we pursue this?</w:t>
      </w:r>
      <w:r>
        <w:t xml:space="preserve">”</w:t>
      </w:r>
      <w:r>
        <w:t xml:space="preserve">, the facilitator’s move is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which stage is it in?</w:t>
      </w:r>
      <w:r>
        <w:rPr>
          <w:i/>
          <w:iCs/>
        </w:rPr>
        <w:t xml:space="preserve">”</w:t>
      </w:r>
      <w:r>
        <w:t xml:space="preserve"> </w:t>
      </w:r>
      <w:r>
        <w:t xml:space="preserve">— that is the doctrine working.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Make gates real in the room.</w:t>
      </w:r>
      <w:r>
        <w:t xml:space="preserve"> </w:t>
      </w:r>
      <w:r>
        <w:t xml:space="preserve">Run a mini gate on a learner’s real solicitation: state the criteria, assemble the evidence, name the owner, make the call. Learners remember the doctrine far better after they have been the owner of a call once.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Mixed levels are an asset, not a problem.</w:t>
      </w:r>
      <w:r>
        <w:t xml:space="preserve"> </w:t>
      </w:r>
      <w:r>
        <w:t xml:space="preserve">Pair an L1 with an L3 for the apply beats. The L3 consolidates by explaining; the L1 learns from a peer. (This is also how the Launchpad ladder naturally works — L3s are coaching L1s.)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Protect the internal deadline.</w:t>
      </w:r>
      <w:r>
        <w:t xml:space="preserve"> </w:t>
      </w:r>
      <w:r>
        <w:t xml:space="preserve">Model the doctrine’s own discipline: homework has a due time, not a due day, and an honest early warning beats a silent late submission. You are teaching the pipeline by running 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Never let it become a lecture.</w:t>
      </w:r>
      <w:r>
        <w:t xml:space="preserve"> </w:t>
      </w:r>
      <w:r>
        <w:t xml:space="preserve">If you catch yourself explaining for more than ~20 minutes, stop and hand the room a problem.</w:t>
      </w:r>
    </w:p>
    <w:p>
      <w:r>
        <w:pict>
          <v:rect style="width:0;height:1.5pt" o:hralign="center" o:hrstd="t" o:hr="t"/>
        </w:pict>
      </w:r>
    </w:p>
    <w:bookmarkEnd w:id="32"/>
    <w:bookmarkStart w:id="36" w:name="X281dd2f3977d6c4ea59439ecf252337e1c0fe18"/>
    <w:p>
      <w:pPr>
        <w:pStyle w:val="Heading2"/>
      </w:pPr>
      <w:r>
        <w:t xml:space="preserve">6. Assessment for a fellowship cohort (no grades, just gates)</w:t>
      </w:r>
    </w:p>
    <w:p>
      <w:pPr>
        <w:pStyle w:val="FirstParagraph"/>
      </w:pPr>
      <w:r>
        <w:t xml:space="preserve">The college side grades (</w:t>
      </w:r>
      <w:hyperlink r:id="rId33">
        <w:r>
          <w:rPr>
            <w:rStyle w:val="Hyperlink"/>
          </w:rPr>
          <w:t xml:space="preserve">assessments and rubric</w:t>
        </w:r>
      </w:hyperlink>
      <w:r>
        <w:t xml:space="preserve">). The fellowship side should run on</w:t>
      </w:r>
      <w:r>
        <w:t xml:space="preserve"> </w:t>
      </w:r>
      <w:r>
        <w:rPr>
          <w:b/>
          <w:bCs/>
        </w:rPr>
        <w:t xml:space="preserve">gates</w:t>
      </w:r>
      <w:r>
        <w:t xml:space="preserve">, not grades — it is the doctrine applied to itself: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Self-checks</w:t>
      </w:r>
      <w:r>
        <w:t xml:space="preserve"> </w:t>
      </w:r>
      <w:r>
        <w:t xml:space="preserve">are for the learner, never the gradebook (</w:t>
      </w:r>
      <w:hyperlink r:id="rId34">
        <w:r>
          <w:rPr>
            <w:rStyle w:val="Hyperlink"/>
          </w:rPr>
          <w:t xml:space="preserve">doctrine/04</w:t>
        </w:r>
      </w:hyperlink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Weekly deliverables</w:t>
      </w:r>
      <w:r>
        <w:t xml:space="preserve"> </w:t>
      </w:r>
      <w:r>
        <w:t xml:space="preserve">are the fellowship’s</w:t>
      </w:r>
      <w:r>
        <w:t xml:space="preserve"> </w:t>
      </w:r>
      <w:r>
        <w:t xml:space="preserve">“</w:t>
      </w:r>
      <w:r>
        <w:t xml:space="preserve">homework</w:t>
      </w:r>
      <w:r>
        <w:t xml:space="preserve">”</w:t>
      </w:r>
      <w:r>
        <w:t xml:space="preserve"> </w:t>
      </w:r>
      <w:r>
        <w:t xml:space="preserve">— but assess them with a</w:t>
      </w:r>
      <w:r>
        <w:t xml:space="preserve"> </w:t>
      </w:r>
      <w:r>
        <w:rPr>
          <w:b/>
          <w:bCs/>
        </w:rPr>
        <w:t xml:space="preserve">readiness call</w:t>
      </w:r>
      <w:r>
        <w:t xml:space="preserve"> </w:t>
      </w:r>
      <w:r>
        <w:t xml:space="preserve">(Ready / Ready with conditions / Not ready) against the rubric’s four criteria (correctness, completeness, doctrine use, clarity), not a letter grade.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cohort capstone</w:t>
      </w:r>
      <w:r>
        <w:t xml:space="preserve"> </w:t>
      </w:r>
      <w:r>
        <w:t xml:space="preserve">is the real assessment: each learner presents a complete pursuit package (compliance matrix, ORBITAL, score, bid/no-bid, gate charter) on their real, closed solicitation, and defends it to the room. Use the</w:t>
      </w:r>
      <w:r>
        <w:t xml:space="preserve"> </w:t>
      </w:r>
      <w:hyperlink r:id="rId35">
        <w:r>
          <w:rPr>
            <w:rStyle w:val="Hyperlink"/>
          </w:rPr>
          <w:t xml:space="preserve">capstone brief</w:t>
        </w:r>
      </w:hyperlink>
      <w:r>
        <w:t xml:space="preserve"> </w:t>
      </w:r>
      <w:r>
        <w:t xml:space="preserve">and its</w:t>
      </w:r>
      <w:r>
        <w:t xml:space="preserve"> </w:t>
      </w:r>
      <w:hyperlink r:id="rId33">
        <w:r>
          <w:rPr>
            <w:rStyle w:val="Hyperlink"/>
          </w:rPr>
          <w:t xml:space="preserve">rubric</w:t>
        </w:r>
      </w:hyperlink>
      <w:r>
        <w:t xml:space="preserve"> </w:t>
      </w:r>
      <w:r>
        <w:t xml:space="preserve">as the contract — the cohort version just swaps the grade for a readiness call and a promotion decision on the Launchpad ladder.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promotion gate.</w:t>
      </w:r>
      <w:r>
        <w:t xml:space="preserve"> </w:t>
      </w:r>
      <w:r>
        <w:t xml:space="preserve">A learner advances a level on the Launchpad ladder when their capstone clears the bar — the same way a pursuit advances a pipeline gate. That is the fellowship’s version of</w:t>
      </w:r>
      <w:r>
        <w:t xml:space="preserve"> </w:t>
      </w:r>
      <w:r>
        <w:t xml:space="preserve">“</w:t>
      </w:r>
      <w:r>
        <w:t xml:space="preserve">above the threshold.</w:t>
      </w:r>
      <w:r>
        <w:t xml:space="preserve">”</w:t>
      </w:r>
    </w:p>
    <w:p>
      <w:r>
        <w:pict>
          <v:rect style="width:0;height:1.5pt" o:hralign="center" o:hrstd="t" o:hr="t"/>
        </w:pict>
      </w:r>
    </w:p>
    <w:bookmarkEnd w:id="36"/>
    <w:bookmarkStart w:id="37" w:name="a-ready-made-8-week-cohort-plan"/>
    <w:p>
      <w:pPr>
        <w:pStyle w:val="Heading2"/>
      </w:pPr>
      <w:r>
        <w:t xml:space="preserve">7. A ready-made 8-week cohort plan</w:t>
      </w:r>
    </w:p>
    <w:p>
      <w:pPr>
        <w:pStyle w:val="FirstParagraph"/>
      </w:pPr>
      <w:r>
        <w:t xml:space="preserve">For a Launchpad fellowship cohort meeting weekly, using the shared core plus the practice layer: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the room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Between sessions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Kickoff + 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doctrine in one hour (the exemplar read together); placement self-assessment; every learner picks their real, closed solicitation.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 doctrine 01 + the literacy glossary.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Where the money lives</w:t>
            </w:r>
            <w:r>
              <w:t xml:space="preserve"> </w:t>
            </w:r>
            <w:r>
              <w:t xml:space="preserve">(S1)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D01-E2, D01-E3 on learners’ own companies.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SC-E1 money map.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pipeline shape</w:t>
            </w:r>
            <w:r>
              <w:t xml:space="preserve"> </w:t>
            </w:r>
            <w:r>
              <w:t xml:space="preserve">(S2)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D03-E2, D03-E3; run a mini qualify gate.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SC-E2 pipeline placement.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Reading the documents</w:t>
            </w:r>
            <w:r>
              <w:t xml:space="preserve"> </w:t>
            </w:r>
            <w:r>
              <w:t xml:space="preserve">(S3)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D02-E2 on each learner’s real RFP/NOFO; start the compliance matrix.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SC-E3 + SC-E4.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ORBITAL skeleton</w:t>
            </w:r>
            <w:r>
              <w:t xml:space="preserve"> </w:t>
            </w:r>
            <w:r>
              <w:t xml:space="preserve">(S4)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D06-E2; each learner fills the seven axes for their solicitation.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D06-E3 ORBITAL clean-up.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Scoring and the call</w:t>
            </w:r>
            <w:r>
              <w:t xml:space="preserve"> </w:t>
            </w:r>
            <w:r>
              <w:t xml:space="preserve">(S5)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D05-E2, D05-E4; each learner scores their solicitation and makes a first call.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SC-E5 scored pursuit sheet.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Lifecycle and the loop</w:t>
            </w:r>
            <w:r>
              <w:t xml:space="preserve"> </w:t>
            </w:r>
            <w:r>
              <w:t xml:space="preserve">(S6)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D07-E2, D07-E3; where is each learner’s pursuit in the lifecycle?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SC-E6 + the exemplar’s Step 6 post-mortem.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Capstone workshop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learner presents their full package; the room runs review gates (color-team style) on each other’s work.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polish.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Capstone + promotion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Presentations and defense; promotion gate on the Launchpad ladder; post-mortem on the real awards.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That plan is the shared core, a capstone, and the practice layer welded together — no grading, no products, no slides required.</w:t>
      </w:r>
    </w:p>
    <w:p>
      <w:r>
        <w:pict>
          <v:rect style="width:0;height:1.5pt" o:hralign="center" o:hrstd="t" o:hr="t"/>
        </w:pict>
      </w:r>
    </w:p>
    <w:bookmarkEnd w:id="37"/>
    <w:bookmarkStart w:id="38" w:name="common-pitfalls-and-how-to-avoid-them"/>
    <w:p>
      <w:pPr>
        <w:pStyle w:val="Heading2"/>
      </w:pPr>
      <w:r>
        <w:t xml:space="preserve">8. Common pitfalls, and how to avoid them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lecture trap.</w:t>
      </w:r>
      <w:r>
        <w:t xml:space="preserve"> </w:t>
      </w:r>
      <w:r>
        <w:t xml:space="preserve">You talk for the whole session.</w:t>
      </w:r>
      <w:r>
        <w:t xml:space="preserve"> </w:t>
      </w:r>
      <w:r>
        <w:rPr>
          <w:i/>
          <w:iCs/>
        </w:rPr>
        <w:t xml:space="preserve">Fix:</w:t>
      </w:r>
      <w:r>
        <w:t xml:space="preserve"> </w:t>
      </w:r>
      <w:r>
        <w:t xml:space="preserve">set a timer; when it hits ~20 minutes, the room takes over.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recall trap.</w:t>
      </w:r>
      <w:r>
        <w:t xml:space="preserve"> </w:t>
      </w:r>
      <w:r>
        <w:t xml:space="preserve">You ask questions people can answer by memory, so the room stays comfortable and learns nothing.</w:t>
      </w:r>
      <w:r>
        <w:t xml:space="preserve"> </w:t>
      </w:r>
      <w:r>
        <w:rPr>
          <w:i/>
          <w:iCs/>
        </w:rPr>
        <w:t xml:space="preserve">Fix:</w:t>
      </w:r>
      <w:r>
        <w:t xml:space="preserve"> </w:t>
      </w:r>
      <w:r>
        <w:t xml:space="preserve">use the decision/defense prompts; force a call and a defense.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product trap.</w:t>
      </w:r>
      <w:r>
        <w:t xml:space="preserve"> </w:t>
      </w:r>
      <w:r>
        <w:t xml:space="preserve">Someone asks</w:t>
      </w:r>
      <w:r>
        <w:t xml:space="preserve"> </w:t>
      </w:r>
      <w:r>
        <w:t xml:space="preserve">“</w:t>
      </w:r>
      <w:r>
        <w:t xml:space="preserve">how do we do this in [tool]?</w:t>
      </w:r>
      <w:r>
        <w:t xml:space="preserve">”</w:t>
      </w:r>
      <w:r>
        <w:t xml:space="preserve"> </w:t>
      </w:r>
      <w:r>
        <w:t xml:space="preserve">— and the session slides into a tool tutorial.</w:t>
      </w:r>
      <w:r>
        <w:t xml:space="preserve"> </w:t>
      </w:r>
      <w:r>
        <w:rPr>
          <w:i/>
          <w:iCs/>
        </w:rPr>
        <w:t xml:space="preserve">Fix:</w:t>
      </w:r>
      <w:r>
        <w:t xml:space="preserve"> </w:t>
      </w:r>
      <w:r>
        <w:t xml:space="preserve">re-anchor on the doctrine. The tool is the accent; the concept is the language (</w:t>
      </w:r>
      <w:hyperlink r:id="rId26">
        <w:r>
          <w:rPr>
            <w:rStyle w:val="Hyperlink"/>
          </w:rPr>
          <w:t xml:space="preserve">doctrine/08</w:t>
        </w:r>
      </w:hyperlink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grading trap.</w:t>
      </w:r>
      <w:r>
        <w:t xml:space="preserve"> </w:t>
      </w:r>
      <w:r>
        <w:t xml:space="preserve">You give letter grades and the room starts optimizing for them.</w:t>
      </w:r>
      <w:r>
        <w:t xml:space="preserve"> </w:t>
      </w:r>
      <w:r>
        <w:rPr>
          <w:i/>
          <w:iCs/>
        </w:rPr>
        <w:t xml:space="preserve">Fix:</w:t>
      </w:r>
      <w:r>
        <w:t xml:space="preserve"> </w:t>
      </w:r>
      <w:r>
        <w:t xml:space="preserve">run on readiness calls and gates, per §6.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fake-expert trap.</w:t>
      </w:r>
      <w:r>
        <w:t xml:space="preserve"> </w:t>
      </w:r>
      <w:r>
        <w:t xml:space="preserve">You feel you must know everything.</w:t>
      </w:r>
      <w:r>
        <w:t xml:space="preserve"> </w:t>
      </w:r>
      <w:r>
        <w:rPr>
          <w:i/>
          <w:iCs/>
        </w:rPr>
        <w:t xml:space="preserve">Fix:</w:t>
      </w:r>
      <w:r>
        <w:t xml:space="preserve"> </w:t>
      </w:r>
      <w:r>
        <w:t xml:space="preserve">you don’t — you know where the answers live. The</w:t>
      </w:r>
      <w:r>
        <w:t xml:space="preserve"> </w:t>
      </w:r>
      <w:hyperlink r:id="rId24">
        <w:r>
          <w:rPr>
            <w:rStyle w:val="Hyperlink"/>
          </w:rPr>
          <w:t xml:space="preserve">answer keys</w:t>
        </w:r>
      </w:hyperlink>
      <w:r>
        <w:t xml:space="preserve"> </w:t>
      </w:r>
      <w:r>
        <w:t xml:space="preserve">and the doctrine are the authority; model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let’s find it</w:t>
      </w:r>
      <w:r>
        <w:rPr>
          <w:i/>
          <w:iCs/>
        </w:rPr>
        <w:t xml:space="preserve">”</w:t>
      </w:r>
      <w:r>
        <w:t xml:space="preserve"> </w:t>
      </w:r>
      <w:r>
        <w:t xml:space="preserve">when you don’t know.</w:t>
      </w:r>
    </w:p>
    <w:p>
      <w:r>
        <w:pict>
          <v:rect style="width:0;height:1.5pt" o:hralign="center" o:hrstd="t" o:hr="t"/>
        </w:pict>
      </w:r>
    </w:p>
    <w:bookmarkEnd w:id="38"/>
    <w:bookmarkStart w:id="39" w:name="the-finish-line"/>
    <w:p>
      <w:pPr>
        <w:pStyle w:val="Heading2"/>
      </w:pPr>
      <w:r>
        <w:t xml:space="preserve">9. The finish line</w:t>
      </w:r>
    </w:p>
    <w:p>
      <w:pPr>
        <w:pStyle w:val="FirstParagraph"/>
      </w:pPr>
      <w:r>
        <w:t xml:space="preserve">A cohort is done when every learner has produced and defended a complete pursuit package on a real, closed solicitation — and, ideally, done the post-mortem: looked up the actual published award and updated their score with what the outcome taught. That last move is the learning loop (</w:t>
      </w:r>
      <w:hyperlink r:id="rId31">
        <w:r>
          <w:rPr>
            <w:rStyle w:val="Hyperlink"/>
          </w:rPr>
          <w:t xml:space="preserve">doctrine/03</w:t>
        </w:r>
      </w:hyperlink>
      <w:r>
        <w:t xml:space="preserve">, stage 9), and it is the whole point of the exercise. When your learners can do that alone, you have done your job.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26" Type="http://schemas.openxmlformats.org/officeDocument/2006/relationships/hyperlink" Target="../doctrine/08-tools-change-concepts-dont.md" TargetMode="External"/><Relationship Id="rId3" Type="http://schemas.openxmlformats.org/officeDocument/2006/relationships/settings" Target="settings.xml"/><Relationship Id="rId34" Type="http://schemas.openxmlformats.org/officeDocument/2006/relationships/hyperlink" Target="../doctrine/04-gates-and-governance.md" TargetMode="External"/><Relationship Id="rId21" Type="http://schemas.openxmlformats.org/officeDocument/2006/relationships/hyperlink" Target="../modules/shared-core.md" TargetMode="External"/><Relationship Id="rId7" Type="http://schemas.openxmlformats.org/officeDocument/2006/relationships/footnotes" Target="footnotes.xml"/><Relationship Id="rId33" Type="http://schemas.openxmlformats.org/officeDocument/2006/relationships/hyperlink" Target="../course/assessments-and-rubric.md" TargetMode="External"/><Relationship Id="rId38" Type="http://schemas.openxmlformats.org/officeDocument/2006/relationships/customXml" Target="../customXml/item3.xml"/><Relationship Id="rId2" Type="http://schemas.openxmlformats.org/officeDocument/2006/relationships/styles" Target="styles.xml"/><Relationship Id="rId20" Type="http://schemas.openxmlformats.org/officeDocument/2006/relationships/hyperlink" Target="../modules/module-template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../practice/answer-keys.md" TargetMode="External"/><Relationship Id="rId37" Type="http://schemas.openxmlformats.org/officeDocument/2006/relationships/customXml" Target="../customXml/item2.xml"/><Relationship Id="rId5" Type="http://schemas.openxmlformats.org/officeDocument/2006/relationships/fontTable" Target="fontTable.xml"/><Relationship Id="rId23" Type="http://schemas.openxmlformats.org/officeDocument/2006/relationships/hyperlink" Target="../practice/exercises.md" TargetMode="External"/><Relationship Id="rId36" Type="http://schemas.openxmlformats.org/officeDocument/2006/relationships/customXml" Target="../customXml/item1.xml"/><Relationship Id="rId31" Type="http://schemas.openxmlformats.org/officeDocument/2006/relationships/hyperlink" Target="../doctrine/03-the-pursuit-pipeline.md" TargetMode="External"/><Relationship Id="rId4" Type="http://schemas.openxmlformats.org/officeDocument/2006/relationships/webSettings" Target="webSettings.xml"/><Relationship Id="rId35" Type="http://schemas.openxmlformats.org/officeDocument/2006/relationships/hyperlink" Target="../course/capstone-build-an-orbital.md" TargetMode="External"/><Relationship Id="rId22" Type="http://schemas.openxmlformats.org/officeDocument/2006/relationships/hyperlink" Target="../practice/worked-exemplar-day-in-the-life.md" TargetMode="External"/><Relationship Id="rId27" Type="http://schemas.openxmlformats.org/officeDocument/2006/relationships/hyperlink" Target="onboarding-and-placement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../course/assessments-and-rubric.md" TargetMode="External" /><Relationship Type="http://schemas.openxmlformats.org/officeDocument/2006/relationships/hyperlink" Id="rId35" Target="../course/capstone-build-an-orbital.md" TargetMode="External" /><Relationship Type="http://schemas.openxmlformats.org/officeDocument/2006/relationships/hyperlink" Id="rId31" Target="../doctrine/03-the-pursuit-pipeline.md" TargetMode="External" /><Relationship Type="http://schemas.openxmlformats.org/officeDocument/2006/relationships/hyperlink" Id="rId34" Target="../doctrine/04-gates-and-governance.md" TargetMode="External" /><Relationship Type="http://schemas.openxmlformats.org/officeDocument/2006/relationships/hyperlink" Id="rId26" Target="../doctrine/08-tools-change-concepts-dont.md" TargetMode="External" /><Relationship Type="http://schemas.openxmlformats.org/officeDocument/2006/relationships/hyperlink" Id="rId20" Target="../modules/module-template.md" TargetMode="External" /><Relationship Type="http://schemas.openxmlformats.org/officeDocument/2006/relationships/hyperlink" Id="rId21" Target="../modules/shared-core.md" TargetMode="External" /><Relationship Type="http://schemas.openxmlformats.org/officeDocument/2006/relationships/hyperlink" Id="rId24" Target="../practice/answer-keys.md" TargetMode="External" /><Relationship Type="http://schemas.openxmlformats.org/officeDocument/2006/relationships/hyperlink" Id="rId23" Target="../practice/exercises.md" TargetMode="External" /><Relationship Type="http://schemas.openxmlformats.org/officeDocument/2006/relationships/hyperlink" Id="rId22" Target="../practice/worked-exemplar-day-in-the-life.md" TargetMode="External" /><Relationship Type="http://schemas.openxmlformats.org/officeDocument/2006/relationships/hyperlink" Id="rId27" Target="onboarding-and-placement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958D4CA8-4390-4DAD-858E-62EB7F14F08B}"/>
</file>

<file path=customXml/itemProps2.xml><?xml version="1.0" encoding="utf-8"?>
<ds:datastoreItem xmlns:ds="http://schemas.openxmlformats.org/officeDocument/2006/customXml" ds:itemID="{FF84671E-5BB2-4B72-BFB2-31345DFE0AAE}"/>
</file>

<file path=customXml/itemProps3.xml><?xml version="1.0" encoding="utf-8"?>
<ds:datastoreItem xmlns:ds="http://schemas.openxmlformats.org/officeDocument/2006/customXml" ds:itemID="{C6AF7629-C308-477D-98DA-26DB198E272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2026-08-05T12:04:05Z</dcterms:created>
  <dcterms:modified xsi:type="dcterms:W3CDTF">2026-08-05T12:04:05Z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