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46" w:name="X11692c033895d6d7431b1945aaf721b47922dd1"/>
    <w:p>
      <w:pPr>
        <w:pStyle w:val="Heading1"/>
      </w:pPr>
      <w:r>
        <w:t xml:space="preserve">Sample Capstone — Capture Management Engagement: $10–50M</w:t>
      </w:r>
    </w:p>
    <w:p>
      <w:pPr>
        <w:pStyle w:val="FirstParagraph"/>
      </w:pPr>
      <w:r>
        <w:rPr>
          <w:i/>
          <w:iCs/>
        </w:rPr>
        <w:t xml:space="preserve">A complete, worked graduate capstone: a mid-size firm’s capture manager runs a large, multi-prime federal competition — teaming, price-to-win, discriminators, a full four-volume proposal with the color-team sequence, and the final-proposal-revision strategy that decides the competition.</w:t>
      </w:r>
    </w:p>
    <w:p>
      <w:pPr>
        <w:pStyle w:val="BlockText"/>
      </w:pPr>
      <w:r>
        <w:rPr>
          <w:b/>
          <w:bCs/>
        </w:rPr>
        <w:t xml:space="preserve">What this is.</w:t>
      </w:r>
      <w:r>
        <w:t xml:space="preserve"> </w:t>
      </w:r>
      <w:r>
        <w:t xml:space="preserve">The assignment brief for the graduate capstone lives in</w:t>
      </w:r>
      <w:r>
        <w:t xml:space="preserve"> </w:t>
      </w:r>
      <w:hyperlink r:id="rId20">
        <w:r>
          <w:rPr>
            <w:rStyle w:val="VerbatimChar"/>
          </w:rPr>
          <w:t xml:space="preserve">course/graduate-program-overview.md</w:t>
        </w:r>
      </w:hyperlink>
      <w:r>
        <w:t xml:space="preserve"> </w:t>
      </w:r>
      <w:r>
        <w:t xml:space="preserve">(GC 690 — the applied culminating experience; GC 690T is the thesis rendering). This page is a</w:t>
      </w:r>
      <w:r>
        <w:t xml:space="preserve"> </w:t>
      </w:r>
      <w:r>
        <w:rPr>
          <w:b/>
          <w:bCs/>
        </w:rPr>
        <w:t xml:space="preserve">model answer</w:t>
      </w:r>
      <w:r>
        <w:t xml:space="preserve"> </w:t>
      </w:r>
      <w:r>
        <w:t xml:space="preserve">— a sample engagement showing what an excellent graduate capstone looks like, milestone by milestone, with the grading rubric at each step. It is built on a</w:t>
      </w:r>
      <w:r>
        <w:t xml:space="preserve"> </w:t>
      </w:r>
      <w:r>
        <w:rPr>
          <w:b/>
          <w:bCs/>
        </w:rPr>
        <w:t xml:space="preserve">fictional agency, requirement, competitors, and firm</w:t>
      </w:r>
      <w:r>
        <w:t xml:space="preserve"> </w:t>
      </w:r>
      <w:r>
        <w:t xml:space="preserve">so it can be worked freely in a classroom; a student’s own capstone is grounded in a real, published, closed competition and, where the student has the authority, their own firm’s next pursuit run under the program’s discipline.</w:t>
      </w:r>
    </w:p>
    <w:p>
      <w:pPr>
        <w:pStyle w:val="BlockText"/>
      </w:pPr>
      <w:r>
        <w:rPr>
          <w:b/>
          <w:bCs/>
        </w:rPr>
        <w:t xml:space="preserve">Graduate altitude.</w:t>
      </w:r>
      <w:r>
        <w:t xml:space="preserve"> </w:t>
      </w:r>
      <w:r>
        <w:t xml:space="preserve">The undergraduate tier teaches you to</w:t>
      </w:r>
      <w:r>
        <w:t xml:space="preserve"> </w:t>
      </w:r>
      <w:r>
        <w:rPr>
          <w:i/>
          <w:iCs/>
        </w:rPr>
        <w:t xml:space="preserve">run</w:t>
      </w:r>
      <w:r>
        <w:t xml:space="preserve"> </w:t>
      </w:r>
      <w:r>
        <w:t xml:space="preserve">a pursuit. This sample is run at the altitude the M.S. demands: the</w:t>
      </w:r>
      <w:r>
        <w:t xml:space="preserve"> </w:t>
      </w:r>
      <w:r>
        <w:rPr>
          <w:b/>
          <w:bCs/>
        </w:rPr>
        <w:t xml:space="preserve">theory</w:t>
      </w:r>
      <w:r>
        <w:t xml:space="preserve"> </w:t>
      </w:r>
      <w:r>
        <w:t xml:space="preserve">of why the market behaves as it does (microeconomics, game theory, auction theory), the</w:t>
      </w:r>
      <w:r>
        <w:t xml:space="preserve"> </w:t>
      </w:r>
      <w:r>
        <w:rPr>
          <w:b/>
          <w:bCs/>
        </w:rPr>
        <w:t xml:space="preserve">research discipline</w:t>
      </w:r>
      <w:r>
        <w:t xml:space="preserve"> </w:t>
      </w:r>
      <w:r>
        <w:t xml:space="preserve">of measuring a claim before asserting it, and the</w:t>
      </w:r>
      <w:r>
        <w:t xml:space="preserve"> </w:t>
      </w:r>
      <w:r>
        <w:rPr>
          <w:b/>
          <w:bCs/>
        </w:rPr>
        <w:t xml:space="preserve">finance</w:t>
      </w:r>
      <w:r>
        <w:t xml:space="preserve"> </w:t>
      </w:r>
      <w:r>
        <w:t xml:space="preserve">of a FAR-compliant, DCAA-defensible price. The doctrine’s stack-agnostic rule (doctrine/08) holds throughout: the artifacts are concepts, produced with your organization’s tooling.</w:t>
      </w:r>
    </w:p>
    <w:p>
      <w:pPr>
        <w:pStyle w:val="FirstParagraph"/>
      </w:pPr>
      <w:r>
        <w:rPr>
          <w:b/>
          <w:bCs/>
        </w:rPr>
        <w:t xml:space="preserve">Tier:</w:t>
      </w:r>
      <w:r>
        <w:t xml:space="preserve"> </w:t>
      </w:r>
      <w:r>
        <w:t xml:space="preserve">graduate (M.S. in Capture Management &amp; Government Business Development) ·</w:t>
      </w:r>
      <w:r>
        <w:t xml:space="preserve"> </w:t>
      </w:r>
      <w:r>
        <w:rPr>
          <w:b/>
          <w:bCs/>
        </w:rPr>
        <w:t xml:space="preserve">Course anchor:</w:t>
      </w:r>
      <w:r>
        <w:t xml:space="preserve"> </w:t>
      </w:r>
      <w:r>
        <w:t xml:space="preserve">GC 690 / GC 690T ·</w:t>
      </w:r>
      <w:r>
        <w:t xml:space="preserve"> </w:t>
      </w:r>
      <w:r>
        <w:rPr>
          <w:b/>
          <w:bCs/>
        </w:rPr>
        <w:t xml:space="preserve">Term:</w:t>
      </w:r>
      <w:r>
        <w:t xml:space="preserve"> </w:t>
      </w:r>
      <w:r>
        <w:t xml:space="preserve">14 weeks ·</w:t>
      </w:r>
      <w:r>
        <w:t xml:space="preserve"> </w:t>
      </w:r>
      <w:r>
        <w:rPr>
          <w:b/>
          <w:bCs/>
        </w:rPr>
        <w:t xml:space="preserve">Format:</w:t>
      </w:r>
      <w:r>
        <w:t xml:space="preserve"> </w:t>
      </w:r>
      <w:r>
        <w:t xml:space="preserve">individual or small team, with a named capture lead who owns the whole pursuit ·</w:t>
      </w:r>
      <w:r>
        <w:t xml:space="preserve"> </w:t>
      </w:r>
      <w:r>
        <w:rPr>
          <w:b/>
          <w:bCs/>
        </w:rPr>
        <w:t xml:space="preserve">Defense:</w:t>
      </w:r>
      <w:r>
        <w:t xml:space="preserve"> </w:t>
      </w:r>
      <w:r>
        <w:t xml:space="preserve">individual, before a panel of a practitioner and a faculty researcher ·</w:t>
      </w:r>
      <w:r>
        <w:t xml:space="preserve"> </w:t>
      </w:r>
      <w:r>
        <w:rPr>
          <w:b/>
          <w:bCs/>
        </w:rPr>
        <w:t xml:space="preserve">Tools:</w:t>
      </w:r>
      <w:r>
        <w:t xml:space="preserve"> </w:t>
      </w:r>
      <w:r>
        <w:t xml:space="preserve">none required beyond paper, a whiteboard, or a spreadsheet.</w:t>
      </w:r>
    </w:p>
    <w:p>
      <w:r>
        <w:pict>
          <v:rect style="width:0;height:1.5pt" o:hralign="center" o:hrstd="t" o:hr="t"/>
        </w:pict>
      </w:r>
    </w:p>
    <w:bookmarkStart w:id="24" w:name="the-sample-engagement"/>
    <w:p>
      <w:pPr>
        <w:pStyle w:val="Heading2"/>
      </w:pPr>
      <w:r>
        <w:t xml:space="preserve">The sample engagement</w:t>
      </w:r>
    </w:p>
    <w:bookmarkStart w:id="21" w:name="the-fictional-agency-and-requirement"/>
    <w:p>
      <w:pPr>
        <w:pStyle w:val="Heading3"/>
      </w:pPr>
      <w:r>
        <w:t xml:space="preserve">The fictional agency and requirement</w:t>
      </w:r>
    </w:p>
    <w:p>
      <w:pPr>
        <w:pStyle w:val="BlockText"/>
      </w:pPr>
      <w:r>
        <w:rPr>
          <w:b/>
          <w:bCs/>
        </w:rPr>
        <w:t xml:space="preserve">NATIONAL CENTER FOR CRITICAL INFRASTRUCTURE ANALYTICS (NCCIA)</w:t>
      </w:r>
      <w:r>
        <w:t xml:space="preserve"> </w:t>
      </w:r>
      <w:r>
        <w:t xml:space="preserve">— a</w:t>
      </w:r>
      <w:r>
        <w:t xml:space="preserve"> </w:t>
      </w:r>
      <w:r>
        <w:rPr>
          <w:i/>
          <w:iCs/>
        </w:rPr>
        <w:t xml:space="preserve">fictional</w:t>
      </w:r>
      <w:r>
        <w:t xml:space="preserve"> </w:t>
      </w:r>
      <w:r>
        <w:t xml:space="preserve">federal research and analytics center within the Department of Commerce. NCCIA provides cross-sector critical-infrastructure risk assessment, threat analytics, and decision-support products to federal and state partners.</w:t>
      </w:r>
    </w:p>
    <w:p>
      <w:pPr>
        <w:pStyle w:val="BlockText"/>
      </w:pPr>
      <w:r>
        <w:rPr>
          <w:b/>
          <w:bCs/>
        </w:rPr>
        <w:t xml:space="preserve">NCCIA RFP 2027-001 — Integrated Security and Resilience Analytics Program (ISRA).</w:t>
      </w:r>
      <w:r>
        <w:t xml:space="preserve"> </w:t>
      </w:r>
      <w:r>
        <w:t xml:space="preserve">A large analytic services program delivering continuous risk assessment, threat intelligence fusion, resilience modeling, and executive decision-support to NCCIA’s operational directorate.</w:t>
      </w:r>
    </w:p>
    <w:p>
      <w:pPr>
        <w:pStyle w:val="BlockText"/>
      </w:pPr>
      <w:r>
        <w:rPr>
          <w:b/>
          <w:bCs/>
        </w:rPr>
        <w:t xml:space="preserve">Key solicitation facts (abridged for teaching):</w:t>
      </w:r>
    </w:p>
    <w:tbl>
      <w:tblPr>
        <w:tblStyle w:val="Table"/>
        <w:tblW w:type="pct" w:w="5000"/>
        <w:jc w:val="left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Fact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Value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Vehicle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Single-award IDIQ with task orders, full-and-open; small-business subcontracting plan required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Period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 base year + 4 option years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Value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$28M all-options</w:t>
            </w:r>
            <w:r>
              <w:t xml:space="preserve"> </w:t>
            </w:r>
            <w:r>
              <w:t xml:space="preserve">(the $10–50M band)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Incumbent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Vertex Federal Group (fictional) — large prime, 8-year incumbent, strong customer relationships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Competitive landscape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Vertex Federal Group ·</w:t>
            </w:r>
            <w:r>
              <w:t xml:space="preserve"> </w:t>
            </w:r>
            <w:r>
              <w:rPr>
                <w:b/>
                <w:bCs/>
              </w:rPr>
              <w:t xml:space="preserve">TitanSystems</w:t>
            </w:r>
            <w:r>
              <w:t xml:space="preserve"> </w:t>
            </w:r>
            <w:r>
              <w:t xml:space="preserve">(fictional large defense prime) ·</w:t>
            </w:r>
            <w:r>
              <w:t xml:space="preserve"> </w:t>
            </w:r>
            <w:r>
              <w:rPr>
                <w:b/>
                <w:bCs/>
              </w:rPr>
              <w:t xml:space="preserve">Meridian-Delta JV</w:t>
            </w:r>
            <w:r>
              <w:t xml:space="preserve"> </w:t>
            </w:r>
            <w:r>
              <w:t xml:space="preserve">(fictional small-business joint venture) ·</w:t>
            </w:r>
            <w:r>
              <w:t xml:space="preserve"> </w:t>
            </w:r>
            <w:r>
              <w:rPr>
                <w:b/>
                <w:bCs/>
              </w:rPr>
              <w:t xml:space="preserve">Helios Analytics</w:t>
            </w:r>
            <w:r>
              <w:t xml:space="preserve"> </w:t>
            </w:r>
            <w:r>
              <w:t xml:space="preserve">(the student’s firm)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Evaluation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Best-value tradeoff:</w:t>
            </w:r>
            <w:r>
              <w:t xml:space="preserve"> </w:t>
            </w:r>
            <w:r>
              <w:rPr>
                <w:b/>
                <w:bCs/>
              </w:rPr>
              <w:t xml:space="preserve">Technical (40%)</w:t>
            </w:r>
            <w:r>
              <w:t xml:space="preserve"> </w:t>
            </w:r>
            <w:r>
              <w:t xml:space="preserve">·</w:t>
            </w:r>
            <w:r>
              <w:t xml:space="preserve"> </w:t>
            </w:r>
            <w:r>
              <w:rPr>
                <w:b/>
                <w:bCs/>
              </w:rPr>
              <w:t xml:space="preserve">Management (25%)</w:t>
            </w:r>
            <w:r>
              <w:t xml:space="preserve"> </w:t>
            </w:r>
            <w:r>
              <w:t xml:space="preserve">·</w:t>
            </w:r>
            <w:r>
              <w:t xml:space="preserve"> </w:t>
            </w:r>
            <w:r>
              <w:rPr>
                <w:b/>
                <w:bCs/>
              </w:rPr>
              <w:t xml:space="preserve">Past Performance (20%)</w:t>
            </w:r>
            <w:r>
              <w:t xml:space="preserve"> </w:t>
            </w:r>
            <w:r>
              <w:t xml:space="preserve">·</w:t>
            </w:r>
            <w:r>
              <w:t xml:space="preserve"> </w:t>
            </w:r>
            <w:r>
              <w:rPr>
                <w:b/>
                <w:bCs/>
              </w:rPr>
              <w:t xml:space="preserve">Price (15%)</w:t>
            </w:r>
            <w:r>
              <w:t xml:space="preserve">; cost realism applies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Key requirements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Named key personnel (Program Manager + Deputy + 4 leads); 35% small-business subcontracting goal; transition plan; security clearance posture for the senior team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Anticipated award flow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Competitive range →</w:t>
            </w:r>
            <w:r>
              <w:t xml:space="preserve"> </w:t>
            </w:r>
            <w:r>
              <w:rPr>
                <w:b/>
                <w:bCs/>
              </w:rPr>
              <w:t xml:space="preserve">discussions (FPRs)</w:t>
            </w:r>
            <w:r>
              <w:t xml:space="preserve"> </w:t>
            </w:r>
            <w:r>
              <w:t xml:space="preserve">→ final proposal revision → source-selection decision</w:t>
            </w:r>
          </w:p>
        </w:tc>
      </w:tr>
    </w:tbl>
    <w:p>
      <w:pPr>
        <w:pStyle w:val="FirstParagraph"/>
      </w:pPr>
      <w:r>
        <w:t xml:space="preserve">This is a</w:t>
      </w:r>
      <w:r>
        <w:t xml:space="preserve"> </w:t>
      </w:r>
      <w:r>
        <w:rPr>
          <w:b/>
          <w:bCs/>
        </w:rPr>
        <w:t xml:space="preserve">capture-management engagement</w:t>
      </w:r>
      <w:r>
        <w:t xml:space="preserve">, not just a proposal exercise. The student plays the</w:t>
      </w:r>
      <w:r>
        <w:t xml:space="preserve"> </w:t>
      </w:r>
      <w:r>
        <w:rPr>
          <w:b/>
          <w:bCs/>
        </w:rPr>
        <w:t xml:space="preserve">capture manager</w:t>
      </w:r>
      <w:r>
        <w:t xml:space="preserve"> </w:t>
      </w:r>
      <w:r>
        <w:t xml:space="preserve">for Helios Analytics — the person who owns the pursuit as a business: shaping the team, the price, the discriminators, the production, and the final competitive move. Every milestone below is a decision a capture manager actually makes.</w:t>
      </w:r>
    </w:p>
    <w:bookmarkEnd w:id="21"/>
    <w:bookmarkStart w:id="22" w:name="the-firm-helios-analytics-fictional"/>
    <w:p>
      <w:pPr>
        <w:pStyle w:val="Heading3"/>
      </w:pPr>
      <w:r>
        <w:t xml:space="preserve">The firm: Helios Analytics (fictional)</w:t>
      </w:r>
    </w:p>
    <w:p>
      <w:pPr>
        <w:pStyle w:val="FirstParagraph"/>
      </w:pPr>
      <w:r>
        <w:t xml:space="preserve">A mid-size analytics and engineering firm, ~$160M annual revenue, strong in geospatial risk modeling and data fusion, growing but</w:t>
      </w:r>
      <w:r>
        <w:t xml:space="preserve"> </w:t>
      </w:r>
      <w:r>
        <w:rPr>
          <w:b/>
          <w:bCs/>
        </w:rPr>
        <w:t xml:space="preserve">not yet a proven prime</w:t>
      </w:r>
      <w:r>
        <w:t xml:space="preserve"> </w:t>
      </w:r>
      <w:r>
        <w:t xml:space="preserve">in NCCIA’s sector. Helios has excellent technical talent and a healthy past-performance record in adjacent work, but it has never held a contract of this value as the prime, and it is not the incumbent. Its strategic problem — and the capstone’s — is the classic mid-size-firm dilemma:</w:t>
      </w:r>
      <w:r>
        <w:t xml:space="preserve"> </w:t>
      </w:r>
      <w:r>
        <w:rPr>
          <w:i/>
          <w:iCs/>
        </w:rPr>
        <w:t xml:space="preserve">how do you take on the incumbent and a defense prime for a contract that would double your flagship-prime credibility, without betting the firm?</w:t>
      </w:r>
    </w:p>
    <w:bookmarkEnd w:id="22"/>
    <w:bookmarkStart w:id="23" w:name="the-competitive-landscape"/>
    <w:p>
      <w:pPr>
        <w:pStyle w:val="Heading3"/>
      </w:pPr>
      <w:r>
        <w:t xml:space="preserve">The competitive landscape</w:t>
      </w:r>
    </w:p>
    <w:tbl>
      <w:tblPr>
        <w:tblStyle w:val="Table"/>
        <w:tblW w:type="pct" w:w="5000"/>
        <w:jc w:val="left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Competitor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Posture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Threat to Helios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What it is vulnerable 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Vertex Federal Group</w:t>
            </w:r>
            <w:r>
              <w:t xml:space="preserve"> </w:t>
            </w:r>
            <w:r>
              <w:t xml:space="preserve">(incumbent)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Incumbent, strong relationships, proven delivery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Highest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Recompete inertia; price creep; a program that has gone stale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TitanSystems</w:t>
            </w:r>
            <w:r>
              <w:t xml:space="preserve"> </w:t>
            </w:r>
            <w:r>
              <w:t xml:space="preserve">(defense prime)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Deep security/defense bench, deep pockets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High on security-heavy factors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Cost structure; a government-civilian mission it treats as a sideline; past performance in the wrong flavor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Meridian-Delta JV</w:t>
            </w:r>
            <w:r>
              <w:t xml:space="preserve"> </w:t>
            </w:r>
            <w:r>
              <w:t xml:space="preserve">(small-business JV)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New entrant JV; price-aggressive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Medium on price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Limited past performance; unproven delivery at this scale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Helios Analytics</w:t>
            </w:r>
            <w:r>
              <w:t xml:space="preserve"> </w:t>
            </w:r>
            <w:r>
              <w:t xml:space="preserve">(our firm)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Best-fit analytics; national-lab partner; the right price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Not the incumbent; must prove it can run an IDIQ of this size as prime</w:t>
            </w:r>
          </w:p>
        </w:tc>
      </w:tr>
    </w:tbl>
    <w:p>
      <w:pPr>
        <w:pStyle w:val="BodyText"/>
      </w:pPr>
      <w:r>
        <w:t xml:space="preserve">The landscape teaches the first graduate lesson:</w:t>
      </w:r>
      <w:r>
        <w:t xml:space="preserve"> </w:t>
      </w:r>
      <w:r>
        <w:rPr>
          <w:b/>
          <w:bCs/>
        </w:rPr>
        <w:t xml:space="preserve">the fight is positional, not just technical.</w:t>
      </w:r>
      <w:r>
        <w:t xml:space="preserve"> </w:t>
      </w:r>
      <w:r>
        <w:t xml:space="preserve">Vertex wins on incumbency and relationships; TitanSystems wins on scale and security; Meridian-Delta wins on price; Helios can only win where its position is genuinely different — best-fit analytics, a named anchor partnership, and a price that is credible rather than lowest.</w:t>
      </w:r>
    </w:p>
    <w:p>
      <w:r>
        <w:pict>
          <v:rect style="width:0;height:1.5pt" o:hralign="center" o:hrstd="t" o:hr="t"/>
        </w:pict>
      </w:r>
    </w:p>
    <w:bookmarkEnd w:id="23"/>
    <w:bookmarkEnd w:id="24"/>
    <w:bookmarkStart w:id="25" w:name="X30341326d6550de8f67f9e9fe8aaaf5b7e33e52"/>
    <w:p>
      <w:pPr>
        <w:pStyle w:val="Heading2"/>
      </w:pPr>
      <w:r>
        <w:t xml:space="preserve">The graduate milestones, mapped to the pipeline</w:t>
      </w:r>
    </w:p>
    <w:tbl>
      <w:tblPr>
        <w:tblStyle w:val="Table"/>
        <w:tblW w:type="pct" w:w="5000"/>
        <w:jc w:val="left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Week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Pipeline stage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Milestone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Deliverable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sense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Engagement kickoff; the pursuit as a business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Capture management charter; engagement plan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sense → qualify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Market segmentation and opportunity analysis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Bid/no-bid</w:t>
            </w:r>
            <w:r>
              <w:t xml:space="preserve"> </w:t>
            </w:r>
            <w:r>
              <w:rPr>
                <w:b/>
                <w:bCs/>
              </w:rPr>
              <w:t xml:space="preserve">gate</w:t>
            </w:r>
            <w:r>
              <w:t xml:space="preserve"> </w:t>
            </w:r>
            <w:r>
              <w:t xml:space="preserve">argued with theory (microeconomics of set-asides, incumbency)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score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Scoring at graduate altitude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Score: research-grounded pWin × value</w:t>
            </w:r>
            <w:r>
              <w:t xml:space="preserve"> </w:t>
            </w:r>
            <w:r>
              <w:t xml:space="preserve">(threshold gate) — evidence cited, survivorship named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pursue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Teaming / JV decision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Teaming posture recommendation</w:t>
            </w:r>
            <w:r>
              <w:t xml:space="preserve"> </w:t>
            </w:r>
            <w:r>
              <w:t xml:space="preserve">with a partner-rubric defense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pursue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Win strategy and discriminators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Capture plan: customer map, incumbent analysis, discriminators, ghost themes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pursue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ORBITAL at firm scale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Full ORBITAL (seven axes) with a defensible budget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design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Proposal strategy and production plan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Proposal management plan: volumes, page budget, writer/reviewer rosters, schedule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design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Pricing strategy and price-to-win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Price-to-win analysis</w:t>
            </w:r>
            <w:r>
              <w:t xml:space="preserve">: cost floor, competitive range, posture, affordability ceiling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design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Volume production (I–IV)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Draft volumes: Technical, Management, Past Performance, Pricing — cost-technical reconciliation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audit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Pink → Red</w:t>
            </w:r>
            <w:r>
              <w:t xml:space="preserve"> </w:t>
            </w:r>
            <w:r>
              <w:t xml:space="preserve">color teams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Findings log; Red ratings resolved per the exit rules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11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audit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Gold → Black-Hat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Gold disposition; Black-Hat score-credibility pass; final price reconciliation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12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audit → submit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Readiness + submission mechanics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Readiness gate</w:t>
            </w:r>
            <w:r>
              <w:t xml:space="preserve">; white-glove; submission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13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negotiate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FPR strategy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Final-proposal-revision plan: what to hold, what to move, the price negotiation posture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14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negotiate → learn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Defense + post-competition analysis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Defense; FPR outcome analysis vs. the published award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25"/>
    <w:bookmarkStart w:id="40" w:name="Xe3fb23a97be296077d86307406398c0e9b09fc2"/>
    <w:p>
      <w:pPr>
        <w:pStyle w:val="Heading2"/>
      </w:pPr>
      <w:r>
        <w:t xml:space="preserve">Per-milestone deliverables — graduate-altitude</w:t>
      </w:r>
      <w:r>
        <w:t xml:space="preserve"> </w:t>
      </w:r>
      <w:r>
        <w:t xml:space="preserve">“</w:t>
      </w:r>
      <w:r>
        <w:t xml:space="preserve">done</w:t>
      </w:r>
      <w:r>
        <w:t xml:space="preserve">”</w:t>
      </w:r>
    </w:p>
    <w:bookmarkStart w:id="26" w:name="week-1-the-pursuit-as-a-business"/>
    <w:p>
      <w:pPr>
        <w:pStyle w:val="Heading3"/>
      </w:pPr>
      <w:r>
        <w:t xml:space="preserve">Week 1 — the pursuit as a business</w:t>
      </w:r>
    </w:p>
    <w:p>
      <w:pPr>
        <w:pStyle w:val="FirstParagraph"/>
      </w:pPr>
      <w:r>
        <w:rPr>
          <w:b/>
          <w:bCs/>
        </w:rPr>
        <w:t xml:space="preserve">Deliverable: capture management charter + engagement plan.</w:t>
      </w:r>
      <w:r>
        <w:t xml:space="preserve"> </w:t>
      </w:r>
      <w:r>
        <w:t xml:space="preserve">The charter names the capture manager as the</w:t>
      </w:r>
      <w:r>
        <w:t xml:space="preserve"> </w:t>
      </w:r>
      <w:r>
        <w:rPr>
          <w:b/>
          <w:bCs/>
        </w:rPr>
        <w:t xml:space="preserve">owner with process</w:t>
      </w:r>
      <w:r>
        <w:t xml:space="preserve"> </w:t>
      </w:r>
      <w:r>
        <w:t xml:space="preserve">(doctrine/04): the gates, the decision rights, the ethical walls (OCI posture — Helios’s own consultants must not touch source-selection-sensitive information), and the budget for the pursuit itself. The engagement plan is the schedule that makes the pursuit</w:t>
      </w:r>
      <w:r>
        <w:t xml:space="preserve"> </w:t>
      </w:r>
      <w:r>
        <w:rPr>
          <w:i/>
          <w:iCs/>
        </w:rPr>
        <w:t xml:space="preserve">finishable</w:t>
      </w:r>
      <w:r>
        <w:t xml:space="preserve">: a Gantt-style map of production, reviews, and decision points with the internal deadline set a full week before the portal closes.</w:t>
      </w:r>
    </w:p>
    <w:bookmarkEnd w:id="26"/>
    <w:bookmarkStart w:id="27" w:name="Xc454d99132c2c776b63ef1c4d7ab10bb7185455"/>
    <w:p>
      <w:pPr>
        <w:pStyle w:val="Heading3"/>
      </w:pPr>
      <w:r>
        <w:t xml:space="preserve">Week 2 — the bid/no-bid gate, argued with theory</w:t>
      </w:r>
    </w:p>
    <w:p>
      <w:pPr>
        <w:pStyle w:val="FirstParagraph"/>
      </w:pPr>
      <w:r>
        <w:rPr>
          <w:b/>
          <w:bCs/>
        </w:rPr>
        <w:t xml:space="preserve">Deliverable: gate memo.</w:t>
      </w:r>
      <w:r>
        <w:t xml:space="preserve"> </w:t>
      </w:r>
      <w:r>
        <w:t xml:space="preserve">The undergraduate gate asks</w:t>
      </w:r>
      <w:r>
        <w:t xml:space="preserve"> </w:t>
      </w:r>
      <w:r>
        <w:rPr>
          <w:i/>
          <w:iCs/>
        </w:rPr>
        <w:t xml:space="preserve">can we</w:t>
      </w:r>
      <w:r>
        <w:t xml:space="preserve"> </w:t>
      </w:r>
      <w:r>
        <w:t xml:space="preserve">— the graduate gate asks</w:t>
      </w:r>
      <w:r>
        <w:t xml:space="preserve"> </w:t>
      </w:r>
      <w:r>
        <w:rPr>
          <w:i/>
          <w:iCs/>
        </w:rPr>
        <w:t xml:space="preserve">should we, and on what theory?</w:t>
      </w:r>
      <w:r>
        <w:t xml:space="preserve"> </w:t>
      </w:r>
      <w:r>
        <w:t xml:space="preserve">The memo uses the</w:t>
      </w:r>
      <w:r>
        <w:t xml:space="preserve"> </w:t>
      </w:r>
      <w:r>
        <w:rPr>
          <w:b/>
          <w:bCs/>
        </w:rPr>
        <w:t xml:space="preserve">microeconomics of procurement</w:t>
      </w:r>
      <w:r>
        <w:t xml:space="preserve"> </w:t>
      </w:r>
      <w:r>
        <w:t xml:space="preserve">(GC 501) and</w:t>
      </w:r>
      <w:r>
        <w:t xml:space="preserve"> </w:t>
      </w:r>
      <w:r>
        <w:rPr>
          <w:b/>
          <w:bCs/>
        </w:rPr>
        <w:t xml:space="preserve">competitive strategy</w:t>
      </w:r>
      <w:r>
        <w:t xml:space="preserve"> </w:t>
      </w:r>
      <w:r>
        <w:t xml:space="preserve">(GC 510): why incumbency dominates awards, what a set-aside’s small-business subcontracting goal does to the competitive set, and the</w:t>
      </w:r>
      <w:r>
        <w:t xml:space="preserve"> </w:t>
      </w:r>
      <w:r>
        <w:rPr>
          <w:b/>
          <w:bCs/>
        </w:rPr>
        <w:t xml:space="preserve">winner’s curse</w:t>
      </w:r>
      <w:r>
        <w:t xml:space="preserve"> </w:t>
      </w:r>
      <w:r>
        <w:t xml:space="preserve">hazard if Helios tries to buy the win on price. The call is</w:t>
      </w:r>
      <w:r>
        <w:t xml:space="preserve"> </w:t>
      </w:r>
      <w:r>
        <w:rPr>
          <w:b/>
          <w:bCs/>
        </w:rPr>
        <w:t xml:space="preserve">BID</w:t>
      </w:r>
      <w:r>
        <w:t xml:space="preserve">, with a portfolio frame: this pursuit’s expected value, its pursuit cost, and its strategic option value (a flagship-prime reference) justify the engagement.</w:t>
      </w:r>
    </w:p>
    <w:bookmarkEnd w:id="27"/>
    <w:bookmarkStart w:id="28" w:name="X9512e30b1cea13c72e86c277a14e30215b2df0f"/>
    <w:p>
      <w:pPr>
        <w:pStyle w:val="Heading3"/>
      </w:pPr>
      <w:r>
        <w:t xml:space="preserve">Week 3 — the score, with research discipline</w:t>
      </w:r>
    </w:p>
    <w:p>
      <w:pPr>
        <w:pStyle w:val="FirstParagraph"/>
      </w:pPr>
      <w:r>
        <w:rPr>
          <w:b/>
          <w:bCs/>
        </w:rPr>
        <w:t xml:space="preserve">Deliverable: scored pursuit sheet at graduate altitude.</w:t>
      </w:r>
      <w:r>
        <w:t xml:space="preserve"> </w:t>
      </w:r>
      <w:r>
        <w:t xml:space="preserve">pWin is argued factor by factor against the seven-factor composite, and every factor is cited — to a published award, an incumbent record, or a forecast. The</w:t>
      </w:r>
      <w:r>
        <w:t xml:space="preserve"> </w:t>
      </w:r>
      <w:r>
        <w:rPr>
          <w:b/>
          <w:bCs/>
        </w:rPr>
        <w:t xml:space="preserve">research discipline</w:t>
      </w:r>
      <w:r>
        <w:t xml:space="preserve"> </w:t>
      </w:r>
      <w:r>
        <w:t xml:space="preserve">(GC 530) shows up in the honesty: the team names the</w:t>
      </w:r>
      <w:r>
        <w:t xml:space="preserve"> </w:t>
      </w:r>
      <w:r>
        <w:rPr>
          <w:b/>
          <w:bCs/>
        </w:rPr>
        <w:t xml:space="preserve">survivorship hazard</w:t>
      </w:r>
      <w:r>
        <w:t xml:space="preserve"> </w:t>
      </w:r>
      <w:r>
        <w:t xml:space="preserve">(only pursued bids resolve), the</w:t>
      </w:r>
      <w:r>
        <w:t xml:space="preserve"> </w:t>
      </w:r>
      <w:r>
        <w:rPr>
          <w:b/>
          <w:bCs/>
        </w:rPr>
        <w:t xml:space="preserve">incumbency discount</w:t>
      </w:r>
      <w:r>
        <w:t xml:space="preserve"> </w:t>
      </w:r>
      <w:r>
        <w:t xml:space="preserve">the score must carry, and the observation base for each factor claim. Composite:</w:t>
      </w:r>
      <w:r>
        <w:t xml:space="preserve"> </w:t>
      </w:r>
      <w:r>
        <w:rPr>
          <w:b/>
          <w:bCs/>
        </w:rPr>
        <w:t xml:space="preserve">pWin ≈ 0.38 × value $28M</w:t>
      </w:r>
      <w:r>
        <w:t xml:space="preserve"> </w:t>
      </w:r>
      <w:r>
        <w:t xml:space="preserve">— below the canonical</w:t>
      </w:r>
      <w:r>
        <w:t xml:space="preserve"> </w:t>
      </w:r>
      <w:r>
        <w:rPr>
          <w:b/>
          <w:bCs/>
        </w:rPr>
        <w:t xml:space="preserve">0.42</w:t>
      </w:r>
      <w:r>
        <w:t xml:space="preserve"> </w:t>
      </w:r>
      <w:r>
        <w:t xml:space="preserve">threshold, which forces the hard graduate question:</w:t>
      </w:r>
      <w:r>
        <w:t xml:space="preserve"> </w:t>
      </w:r>
      <w:r>
        <w:rPr>
          <w:i/>
          <w:iCs/>
        </w:rPr>
        <w:t xml:space="preserve">is the composite the whole decision, or is portfolio/strategic value a legitimate override — and who owns that call?</w:t>
      </w:r>
      <w:r>
        <w:t xml:space="preserve"> </w:t>
      </w:r>
      <w:r>
        <w:t xml:space="preserve">The capture manager’s answer: pursue</w:t>
      </w:r>
      <w:r>
        <w:t xml:space="preserve"> </w:t>
      </w:r>
      <w:r>
        <w:rPr>
          <w:b/>
          <w:bCs/>
        </w:rPr>
        <w:t xml:space="preserve">with conditions</w:t>
      </w:r>
      <w:r>
        <w:t xml:space="preserve"> </w:t>
      </w:r>
      <w:r>
        <w:t xml:space="preserve">(the teaming decision in Week 4 and the discriminator plan in Week 5 must move the score above the bar before the readiness gate), and the override is recorded as a governance decision with the owner named — not a silent exception.</w:t>
      </w:r>
    </w:p>
    <w:bookmarkEnd w:id="28"/>
    <w:bookmarkStart w:id="29" w:name="week-4-the-teaming-jv-decision"/>
    <w:p>
      <w:pPr>
        <w:pStyle w:val="Heading3"/>
      </w:pPr>
      <w:r>
        <w:t xml:space="preserve">Week 4 — the teaming / JV decision</w:t>
      </w:r>
    </w:p>
    <w:p>
      <w:pPr>
        <w:pStyle w:val="FirstParagraph"/>
      </w:pPr>
      <w:r>
        <w:rPr>
          <w:b/>
          <w:bCs/>
        </w:rPr>
        <w:t xml:space="preserve">Deliverable: teaming posture recommendation + partner rubric.</w:t>
      </w:r>
      <w:r>
        <w:t xml:space="preserve"> </w:t>
      </w:r>
      <w:r>
        <w:t xml:space="preserve">The decision set:</w:t>
      </w:r>
      <w:r>
        <w:t xml:space="preserve"> </w:t>
      </w:r>
      <w:r>
        <w:rPr>
          <w:b/>
          <w:bCs/>
        </w:rPr>
        <w:t xml:space="preserve">solo prime</w:t>
      </w:r>
      <w:r>
        <w:t xml:space="preserve">,</w:t>
      </w:r>
      <w:r>
        <w:t xml:space="preserve"> </w:t>
      </w:r>
      <w:r>
        <w:rPr>
          <w:b/>
          <w:bCs/>
        </w:rPr>
        <w:t xml:space="preserve">JV with a research partner</w:t>
      </w:r>
      <w:r>
        <w:t xml:space="preserve">, or</w:t>
      </w:r>
      <w:r>
        <w:t xml:space="preserve"> </w:t>
      </w:r>
      <w:r>
        <w:rPr>
          <w:b/>
          <w:bCs/>
        </w:rPr>
        <w:t xml:space="preserve">prime with subcontractors</w:t>
      </w:r>
      <w:r>
        <w:t xml:space="preserve">. The evaluation is a</w:t>
      </w:r>
      <w:r>
        <w:t xml:space="preserve"> </w:t>
      </w:r>
      <w:r>
        <w:rPr>
          <w:b/>
          <w:bCs/>
        </w:rPr>
        <w:t xml:space="preserve">partner rubric</w:t>
      </w:r>
      <w:r>
        <w:t xml:space="preserve"> </w:t>
      </w:r>
      <w:r>
        <w:t xml:space="preserve">(capability fit, past-performance match, set-aside eligibility, vehicle access, partner risk) — scored, weighted, and argued, the same rigor the color teams demand. The recommendation:</w:t>
      </w:r>
      <w:r>
        <w:t xml:space="preserve"> </w:t>
      </w:r>
      <w:r>
        <w:rPr>
          <w:b/>
          <w:bCs/>
        </w:rPr>
        <w:t xml:space="preserve">prime, with two named teammates</w:t>
      </w:r>
      <w:r>
        <w:t xml:space="preserve"> </w:t>
      </w:r>
      <w:r>
        <w:t xml:space="preserve">— a national laboratory (fictional partner) as the anchor research teammate whose reputation and data assets are the Technical volume’s backbone, and a HUBZone-certified small business as a subcontractor to strengthen the 35% small-business plan.</w:t>
      </w:r>
      <w:r>
        <w:t xml:space="preserve"> </w:t>
      </w:r>
      <w:r>
        <w:rPr>
          <w:b/>
          <w:bCs/>
        </w:rPr>
        <w:t xml:space="preserve">No JV</w:t>
      </w:r>
      <w:r>
        <w:t xml:space="preserve">: the governance cost and the past-performance entanglement outweigh the benefit when the customer already knows Helios. The memo also names what the team</w:t>
      </w:r>
      <w:r>
        <w:t xml:space="preserve"> </w:t>
      </w:r>
      <w:r>
        <w:rPr>
          <w:i/>
          <w:iCs/>
        </w:rPr>
        <w:t xml:space="preserve">declined</w:t>
      </w:r>
      <w:r>
        <w:t xml:space="preserve"> </w:t>
      </w:r>
      <w:r>
        <w:t xml:space="preserve">and why — a deliberate, documented no, not a default.</w:t>
      </w:r>
    </w:p>
    <w:bookmarkEnd w:id="29"/>
    <w:bookmarkStart w:id="30" w:name="week-5-win-strategy-and-discriminators"/>
    <w:p>
      <w:pPr>
        <w:pStyle w:val="Heading3"/>
      </w:pPr>
      <w:r>
        <w:t xml:space="preserve">Week 5 — win strategy and discriminators</w:t>
      </w:r>
    </w:p>
    <w:p>
      <w:pPr>
        <w:pStyle w:val="FirstParagraph"/>
      </w:pPr>
      <w:r>
        <w:rPr>
          <w:b/>
          <w:bCs/>
        </w:rPr>
        <w:t xml:space="preserve">Deliverable: capture plan.</w:t>
      </w:r>
      <w:r>
        <w:t xml:space="preserve"> </w:t>
      </w:r>
      <w:r>
        <w:t xml:space="preserve">The</w:t>
      </w:r>
      <w:r>
        <w:t xml:space="preserve"> </w:t>
      </w:r>
      <w:r>
        <w:rPr>
          <w:b/>
          <w:bCs/>
        </w:rPr>
        <w:t xml:space="preserve">customer map</w:t>
      </w:r>
      <w:r>
        <w:t xml:space="preserve"> </w:t>
      </w:r>
      <w:r>
        <w:t xml:space="preserve">(who at NCCIA decides, what they are measured on, the program office’s relationship to Vertex), the</w:t>
      </w:r>
      <w:r>
        <w:t xml:space="preserve"> </w:t>
      </w:r>
      <w:r>
        <w:rPr>
          <w:b/>
          <w:bCs/>
        </w:rPr>
        <w:t xml:space="preserve">incumbent analysis</w:t>
      </w:r>
      <w:r>
        <w:t xml:space="preserve"> </w:t>
      </w:r>
      <w:r>
        <w:t xml:space="preserve">(what Vertex does well, where eight years have left it stale — the pricing creep, the aging toolchain, the turnover risk), and the</w:t>
      </w:r>
      <w:r>
        <w:t xml:space="preserve"> </w:t>
      </w:r>
      <w:r>
        <w:rPr>
          <w:b/>
          <w:bCs/>
        </w:rPr>
        <w:t xml:space="preserve">win strategy</w:t>
      </w:r>
      <w:r>
        <w:t xml:space="preserve">: Helios wins on</w:t>
      </w:r>
      <w:r>
        <w:t xml:space="preserve"> </w:t>
      </w:r>
      <w:r>
        <w:rPr>
          <w:b/>
          <w:bCs/>
        </w:rPr>
        <w:t xml:space="preserve">discriminators</w:t>
      </w:r>
      <w:r>
        <w:t xml:space="preserve"> </w:t>
      </w:r>
      <w:r>
        <w:t xml:space="preserve">— a</w:t>
      </w:r>
      <w:r>
        <w:t xml:space="preserve"> </w:t>
      </w:r>
      <w:r>
        <w:rPr>
          <w:b/>
          <w:bCs/>
        </w:rPr>
        <w:t xml:space="preserve">named anchor partnership</w:t>
      </w:r>
      <w:r>
        <w:t xml:space="preserve"> </w:t>
      </w:r>
      <w:r>
        <w:t xml:space="preserve">with the national lab, a</w:t>
      </w:r>
      <w:r>
        <w:t xml:space="preserve"> </w:t>
      </w:r>
      <w:r>
        <w:rPr>
          <w:b/>
          <w:bCs/>
        </w:rPr>
        <w:t xml:space="preserve">quantified outcome target</w:t>
      </w:r>
      <w:r>
        <w:t xml:space="preserve"> </w:t>
      </w:r>
      <w:r>
        <w:t xml:space="preserve">(a published accuracy/resilience metric the program has never hit), and a</w:t>
      </w:r>
      <w:r>
        <w:t xml:space="preserve"> </w:t>
      </w:r>
      <w:r>
        <w:rPr>
          <w:b/>
          <w:bCs/>
        </w:rPr>
        <w:t xml:space="preserve">sustainability/continuation mechanism</w:t>
      </w:r>
      <w:r>
        <w:t xml:space="preserve"> </w:t>
      </w:r>
      <w:r>
        <w:t xml:space="preserve">(a reusable data asset the contract leaves behind). The</w:t>
      </w:r>
      <w:r>
        <w:t xml:space="preserve"> </w:t>
      </w:r>
      <w:r>
        <w:rPr>
          <w:b/>
          <w:bCs/>
        </w:rPr>
        <w:t xml:space="preserve">ghost themes</w:t>
      </w:r>
      <w:r>
        <w:t xml:space="preserve"> </w:t>
      </w:r>
      <w:r>
        <w:t xml:space="preserve">are named and suppressed: Helios will</w:t>
      </w:r>
      <w:r>
        <w:t xml:space="preserve"> </w:t>
      </w:r>
      <w:r>
        <w:rPr>
          <w:i/>
          <w:iCs/>
        </w:rPr>
        <w:t xml:space="preserve">not</w:t>
      </w:r>
      <w:r>
        <w:t xml:space="preserve"> </w:t>
      </w:r>
      <w:r>
        <w:t xml:space="preserve">claim scale it cannot staff, security clearance depth it does not have on day one, or a price it cannot defend to DCAA.</w:t>
      </w:r>
    </w:p>
    <w:bookmarkEnd w:id="30"/>
    <w:bookmarkStart w:id="31" w:name="week-6-the-orbital-at-firm-scale"/>
    <w:p>
      <w:pPr>
        <w:pStyle w:val="Heading3"/>
      </w:pPr>
      <w:r>
        <w:t xml:space="preserve">Week 6 — the ORBITAL at firm scale</w:t>
      </w:r>
    </w:p>
    <w:p>
      <w:pPr>
        <w:pStyle w:val="FirstParagraph"/>
      </w:pPr>
      <w:r>
        <w:rPr>
          <w:b/>
          <w:bCs/>
        </w:rPr>
        <w:t xml:space="preserve">Deliverable: full ORBITAL.</w:t>
      </w:r>
      <w:r>
        <w:t xml:space="preserve"> </w:t>
      </w:r>
      <w:r>
        <w:t xml:space="preserve">The seven axes — Objective, Resources, Budget, Indicators, Transport, Activities, Logistics — filled at the scale of a $28M program: the named key personnel as resources, an indicators tree that maps to the Technical factor weights, a budget that reconciles with the pricing volume, and a transport/logistics plan that answers the transition question head-on (how Helios takes over from Vertex without losing the customer’s confidence).</w:t>
      </w:r>
    </w:p>
    <w:bookmarkEnd w:id="31"/>
    <w:bookmarkStart w:id="32" w:name="X2a35e59ac6ae9522cbdbdabbb150c002f585ddd"/>
    <w:p>
      <w:pPr>
        <w:pStyle w:val="Heading3"/>
      </w:pPr>
      <w:r>
        <w:t xml:space="preserve">Week 7 — proposal strategy and production plan</w:t>
      </w:r>
    </w:p>
    <w:p>
      <w:pPr>
        <w:pStyle w:val="FirstParagraph"/>
      </w:pPr>
      <w:r>
        <w:rPr>
          <w:b/>
          <w:bCs/>
        </w:rPr>
        <w:t xml:space="preserve">Deliverable: proposal management plan.</w:t>
      </w:r>
      <w:r>
        <w:t xml:space="preserve"> </w:t>
      </w:r>
      <w:r>
        <w:t xml:space="preserve">The plan the color teams will be judged against: the four volumes and their page budgets</w:t>
      </w:r>
      <w:r>
        <w:t xml:space="preserve"> </w:t>
      </w:r>
      <w:r>
        <w:rPr>
          <w:b/>
          <w:bCs/>
        </w:rPr>
        <w:t xml:space="preserve">allocated to the evaluation weights</w:t>
      </w:r>
      <w:r>
        <w:t xml:space="preserve"> </w:t>
      </w:r>
      <w:r>
        <w:t xml:space="preserve">(the 40% Technical factor gets the deepest storyboards), the</w:t>
      </w:r>
      <w:r>
        <w:t xml:space="preserve"> </w:t>
      </w:r>
      <w:r>
        <w:rPr>
          <w:b/>
          <w:bCs/>
        </w:rPr>
        <w:t xml:space="preserve">writer/reviewer independence rule</w:t>
      </w:r>
      <w:r>
        <w:t xml:space="preserve"> </w:t>
      </w:r>
      <w:r>
        <w:t xml:space="preserve">(no reviewer evaluates a section they drafted — GE 640’s core discipline), the locked reviewer roster carried from Pink through Black-Hat, and the schedule that leaves time for every color. The plan also names the</w:t>
      </w:r>
      <w:r>
        <w:t xml:space="preserve"> </w:t>
      </w:r>
      <w:r>
        <w:rPr>
          <w:b/>
          <w:bCs/>
        </w:rPr>
        <w:t xml:space="preserve">production risk</w:t>
      </w:r>
      <w:r>
        <w:t xml:space="preserve"> </w:t>
      </w:r>
      <w:r>
        <w:t xml:space="preserve">the whole effort will be measured on: page-limit discipline, the compliance spine, and the cost-technical reconciliation deadline.</w:t>
      </w:r>
    </w:p>
    <w:bookmarkEnd w:id="32"/>
    <w:bookmarkStart w:id="33" w:name="week-8-price-to-win"/>
    <w:p>
      <w:pPr>
        <w:pStyle w:val="Heading3"/>
      </w:pPr>
      <w:r>
        <w:t xml:space="preserve">Week 8 — price-to-win</w:t>
      </w:r>
    </w:p>
    <w:p>
      <w:pPr>
        <w:pStyle w:val="FirstParagraph"/>
      </w:pPr>
      <w:r>
        <w:rPr>
          <w:b/>
          <w:bCs/>
        </w:rPr>
        <w:t xml:space="preserve">Deliverable: price-to-win analysis.</w:t>
      </w:r>
      <w:r>
        <w:t xml:space="preserve"> </w:t>
      </w:r>
      <w:r>
        <w:t xml:space="preserve">The price is built as a</w:t>
      </w:r>
      <w:r>
        <w:t xml:space="preserve"> </w:t>
      </w:r>
      <w:r>
        <w:rPr>
          <w:b/>
          <w:bCs/>
        </w:rPr>
        <w:t xml:space="preserve">position, not a guess</w:t>
      </w:r>
      <w:r>
        <w:t xml:space="preserve"> </w:t>
      </w:r>
      <w:r>
        <w:t xml:space="preserve">(GC 540, doctrine/05): the</w:t>
      </w:r>
      <w:r>
        <w:t xml:space="preserve"> </w:t>
      </w:r>
      <w:r>
        <w:rPr>
          <w:b/>
          <w:bCs/>
        </w:rPr>
        <w:t xml:space="preserve">cost floor</w:t>
      </w:r>
      <w:r>
        <w:t xml:space="preserve"> </w:t>
      </w:r>
      <w:r>
        <w:t xml:space="preserve">(a FAR-compliant cost buildup with labor categories, hours, ODCs, subcontract, indirect rates, and fee — DCAA-defensible), the</w:t>
      </w:r>
      <w:r>
        <w:t xml:space="preserve"> </w:t>
      </w:r>
      <w:r>
        <w:rPr>
          <w:b/>
          <w:bCs/>
        </w:rPr>
        <w:t xml:space="preserve">competitive range</w:t>
      </w:r>
      <w:r>
        <w:t xml:space="preserve"> </w:t>
      </w:r>
      <w:r>
        <w:t xml:space="preserve">(Vertex’s likely price, TitanSystems’ price, Meridian-Delta’s aggressive floor), and the</w:t>
      </w:r>
      <w:r>
        <w:t xml:space="preserve"> </w:t>
      </w:r>
      <w:r>
        <w:rPr>
          <w:b/>
          <w:bCs/>
        </w:rPr>
        <w:t xml:space="preserve">affordability ceiling</w:t>
      </w:r>
      <w:r>
        <w:t xml:space="preserve"> </w:t>
      </w:r>
      <w:r>
        <w:t xml:space="preserve">(what NCCIA can budget for the program). The recommended price sits</w:t>
      </w:r>
      <w:r>
        <w:t xml:space="preserve"> </w:t>
      </w:r>
      <w:r>
        <w:rPr>
          <w:i/>
          <w:iCs/>
        </w:rPr>
        <w:t xml:space="preserve">below the incumbent’s likely price, above the aggressive floor, and inside the realism band</w:t>
      </w:r>
      <w:r>
        <w:t xml:space="preserve"> </w:t>
      </w:r>
      <w:r>
        <w:t xml:space="preserve">— credible enough for cost realism, competitive enough to matter, and defensible under audit. The posture is set now, and the FPR strategy in Week 13 will move it.</w:t>
      </w:r>
    </w:p>
    <w:bookmarkEnd w:id="33"/>
    <w:bookmarkStart w:id="34" w:name="week-9-volume-production-iiv"/>
    <w:p>
      <w:pPr>
        <w:pStyle w:val="Heading3"/>
      </w:pPr>
      <w:r>
        <w:t xml:space="preserve">Week 9 — volume production (I–IV)</w:t>
      </w:r>
    </w:p>
    <w:p>
      <w:pPr>
        <w:pStyle w:val="FirstParagraph"/>
      </w:pPr>
      <w:r>
        <w:rPr>
          <w:b/>
          <w:bCs/>
        </w:rPr>
        <w:t xml:space="preserve">Deliverable: the four volumes, drafted and reconciled.</w:t>
      </w:r>
      <w:r>
        <w:t xml:space="preserve"> </w:t>
      </w:r>
      <w:r>
        <w:t xml:space="preserve">Technical (the national-lab partnership, the quantified outcome target, risk, security, transition), Management (org, key personnel, staffing, subcontract management — the 35% plan), Past Performance (three to five relevant, clean, recent citations — and the deliberate</w:t>
      </w:r>
      <w:r>
        <w:t xml:space="preserve"> </w:t>
      </w:r>
      <w:r>
        <w:rPr>
          <w:i/>
          <w:iCs/>
        </w:rPr>
        <w:t xml:space="preserve">exclusion</w:t>
      </w:r>
      <w:r>
        <w:t xml:space="preserve"> </w:t>
      </w:r>
      <w:r>
        <w:t xml:space="preserve">of anything with claims or performance issues), and Pricing (the cost buildup, BOE for every meaningful line, reconciled line-for-line with the Technical volume). The test the volumes must pass:</w:t>
      </w:r>
      <w:r>
        <w:t xml:space="preserve"> </w:t>
      </w:r>
      <w:r>
        <w:rPr>
          <w:b/>
          <w:bCs/>
        </w:rPr>
        <w:t xml:space="preserve">they tell the same story</w:t>
      </w:r>
      <w:r>
        <w:t xml:space="preserve"> </w:t>
      </w:r>
      <w:r>
        <w:t xml:space="preserve">— the Technical volume’s promises are staffed in Management, evidenced in Past Performance, and priced in Pricing.</w:t>
      </w:r>
    </w:p>
    <w:bookmarkEnd w:id="34"/>
    <w:bookmarkStart w:id="35" w:name="week-10-pink-red"/>
    <w:p>
      <w:pPr>
        <w:pStyle w:val="Heading3"/>
      </w:pPr>
      <w:r>
        <w:t xml:space="preserve">Week 10 — Pink → Red</w:t>
      </w:r>
    </w:p>
    <w:p>
      <w:pPr>
        <w:pStyle w:val="FirstParagraph"/>
      </w:pPr>
      <w:r>
        <w:rPr>
          <w:b/>
          <w:bCs/>
        </w:rPr>
        <w:t xml:space="preserve">Deliverable: color-team findings log.</w:t>
      </w:r>
      <w:r>
        <w:t xml:space="preserve"> </w:t>
      </w:r>
      <w:r>
        <w:rPr>
          <w:b/>
          <w:bCs/>
        </w:rPr>
        <w:t xml:space="preserve">Pink</w:t>
      </w:r>
      <w:r>
        <w:t xml:space="preserve"> </w:t>
      </w:r>
      <w:r>
        <w:t xml:space="preserve">(compliance and coverage — every Section L/M requirement mapped and answered) then</w:t>
      </w:r>
      <w:r>
        <w:t xml:space="preserve"> </w:t>
      </w:r>
      <w:r>
        <w:rPr>
          <w:b/>
          <w:bCs/>
        </w:rPr>
        <w:t xml:space="preserve">Red</w:t>
      </w:r>
      <w:r>
        <w:t xml:space="preserve"> </w:t>
      </w:r>
      <w:r>
        <w:t xml:space="preserve">(independent reviewers scoring the full draft as NCCIA evaluators, factor by factor, with the cost-technical reconciliation checked). The facilitation discipline is graded: independent reviewers, locked roster, findings that name factor + evidence + revision. The blunt exit rule applies:</w:t>
      </w:r>
      <w:r>
        <w:t xml:space="preserve"> </w:t>
      </w:r>
      <w:r>
        <w:rPr>
          <w:b/>
          <w:bCs/>
        </w:rPr>
        <w:t xml:space="preserve">any Red rating on a critical factor blocks submission</w:t>
      </w:r>
      <w:r>
        <w:t xml:space="preserve"> </w:t>
      </w:r>
      <w:r>
        <w:t xml:space="preserve">— and the log must show the Red findings being</w:t>
      </w:r>
      <w:r>
        <w:t xml:space="preserve"> </w:t>
      </w:r>
      <w:r>
        <w:rPr>
          <w:i/>
          <w:iCs/>
        </w:rPr>
        <w:t xml:space="preserve">resolved</w:t>
      </w:r>
      <w:r>
        <w:t xml:space="preserve">, not logged and ignored.</w:t>
      </w:r>
    </w:p>
    <w:bookmarkEnd w:id="35"/>
    <w:bookmarkStart w:id="36" w:name="week-11-gold-black-hat"/>
    <w:p>
      <w:pPr>
        <w:pStyle w:val="Heading3"/>
      </w:pPr>
      <w:r>
        <w:t xml:space="preserve">Week 11 — Gold → Black-Hat</w:t>
      </w:r>
    </w:p>
    <w:p>
      <w:pPr>
        <w:pStyle w:val="FirstParagraph"/>
      </w:pPr>
      <w:r>
        <w:rPr>
          <w:b/>
          <w:bCs/>
        </w:rPr>
        <w:t xml:space="preserve">Deliverable: Gold disposition + Black-Hat score-credibility pass.</w:t>
      </w:r>
      <w:r>
        <w:t xml:space="preserve"> </w:t>
      </w:r>
      <w:r>
        <w:rPr>
          <w:b/>
          <w:bCs/>
        </w:rPr>
        <w:t xml:space="preserve">Gold</w:t>
      </w:r>
      <w:r>
        <w:t xml:space="preserve"> </w:t>
      </w:r>
      <w:r>
        <w:t xml:space="preserve">is the executive submit/revise/withdraw decision: the disposition is</w:t>
      </w:r>
      <w:r>
        <w:t xml:space="preserve"> </w:t>
      </w:r>
      <w:r>
        <w:rPr>
          <w:b/>
          <w:bCs/>
        </w:rPr>
        <w:t xml:space="preserve">SUBMIT</w:t>
      </w:r>
      <w:r>
        <w:t xml:space="preserve">, with the residual risks named (not-incumbent; first prime at this scale) and the pricing posture defended to the executive owner.</w:t>
      </w:r>
      <w:r>
        <w:t xml:space="preserve"> </w:t>
      </w:r>
      <w:r>
        <w:rPr>
          <w:b/>
          <w:bCs/>
        </w:rPr>
        <w:t xml:space="preserve">Black-Hat</w:t>
      </w:r>
      <w:r>
        <w:t xml:space="preserve"> </w:t>
      </w:r>
      <w:r>
        <w:t xml:space="preserve">runs last — a hostile evaluator and a rival capture manager in one pass — and its job is to protect against over-optimistic scoring: pull the pWin estimate back to a defensible number and log the final findings. Black-Hat cannot override the other colors; it sharpens them.</w:t>
      </w:r>
    </w:p>
    <w:bookmarkEnd w:id="36"/>
    <w:bookmarkStart w:id="37" w:name="week-12-readiness-and-submission"/>
    <w:p>
      <w:pPr>
        <w:pStyle w:val="Heading3"/>
      </w:pPr>
      <w:r>
        <w:t xml:space="preserve">Week 12 — readiness and submission</w:t>
      </w:r>
    </w:p>
    <w:p>
      <w:pPr>
        <w:pStyle w:val="FirstParagraph"/>
      </w:pPr>
      <w:r>
        <w:rPr>
          <w:b/>
          <w:bCs/>
        </w:rPr>
        <w:t xml:space="preserve">Deliverable: readiness gate + submission.</w:t>
      </w:r>
      <w:r>
        <w:t xml:space="preserve"> </w:t>
      </w:r>
      <w:r>
        <w:t xml:space="preserve">The last gate that can stop a bad submission: white-glove production polish (no content changes by rule — if substance is being edited here, the sequence was skipped earlier), the compliance re-run, the signed representations and certifications, the small-business subcontracting plan checked against the 35% goal, and the mechanical portal submission against the internal deadline. The readiness decision is recorded against the gate charter written in Week 1.</w:t>
      </w:r>
    </w:p>
    <w:bookmarkEnd w:id="37"/>
    <w:bookmarkStart w:id="38" w:name="week-13-fpr-strategy"/>
    <w:p>
      <w:pPr>
        <w:pStyle w:val="Heading3"/>
      </w:pPr>
      <w:r>
        <w:t xml:space="preserve">Week 13 — FPR strategy</w:t>
      </w:r>
    </w:p>
    <w:p>
      <w:pPr>
        <w:pStyle w:val="FirstParagraph"/>
      </w:pPr>
      <w:r>
        <w:rPr>
          <w:b/>
          <w:bCs/>
        </w:rPr>
        <w:t xml:space="preserve">Deliverable: final-proposal-revision plan.</w:t>
      </w:r>
      <w:r>
        <w:t xml:space="preserve"> </w:t>
      </w:r>
      <w:r>
        <w:t xml:space="preserve">The competition now moves to the</w:t>
      </w:r>
      <w:r>
        <w:t xml:space="preserve"> </w:t>
      </w:r>
      <w:r>
        <w:rPr>
          <w:b/>
          <w:bCs/>
        </w:rPr>
        <w:t xml:space="preserve">negotiate</w:t>
      </w:r>
      <w:r>
        <w:t xml:space="preserve"> </w:t>
      </w:r>
      <w:r>
        <w:t xml:space="preserve">corridor (Shipley’s fourth stage). NCCIA has established the competitive range and entered</w:t>
      </w:r>
      <w:r>
        <w:t xml:space="preserve"> </w:t>
      </w:r>
      <w:r>
        <w:rPr>
          <w:b/>
          <w:bCs/>
        </w:rPr>
        <w:t xml:space="preserve">discussions</w:t>
      </w:r>
      <w:r>
        <w:t xml:space="preserve">; the team’s plan answers the two moves that decide the outcome:</w:t>
      </w:r>
      <w:r>
        <w:t xml:space="preserve"> </w:t>
      </w:r>
      <w:r>
        <w:t xml:space="preserve">1.</w:t>
      </w:r>
      <w:r>
        <w:t xml:space="preserve"> </w:t>
      </w:r>
      <w:r>
        <w:rPr>
          <w:b/>
          <w:bCs/>
        </w:rPr>
        <w:t xml:space="preserve">The price move.</w:t>
      </w:r>
      <w:r>
        <w:t xml:space="preserve"> </w:t>
      </w:r>
      <w:r>
        <w:t xml:space="preserve">What to hold and what to move in the FPR — where the price can flex within the cost floor (usually fee and selected ODCs, never the labor-hours that cost realism would flag), and the explicit discipline</w:t>
      </w:r>
      <w:r>
        <w:t xml:space="preserve"> </w:t>
      </w:r>
      <w:r>
        <w:rPr>
          <w:i/>
          <w:iCs/>
        </w:rPr>
        <w:t xml:space="preserve">not</w:t>
      </w:r>
      <w:r>
        <w:t xml:space="preserve"> </w:t>
      </w:r>
      <w:r>
        <w:t xml:space="preserve">to chase Meridian-Delta into the winner’s-curse zone.</w:t>
      </w:r>
      <w:r>
        <w:t xml:space="preserve"> </w:t>
      </w:r>
      <w:r>
        <w:t xml:space="preserve">2.</w:t>
      </w:r>
      <w:r>
        <w:t xml:space="preserve"> </w:t>
      </w:r>
      <w:r>
        <w:rPr>
          <w:b/>
          <w:bCs/>
        </w:rPr>
        <w:t xml:space="preserve">The technical move.</w:t>
      </w:r>
      <w:r>
        <w:t xml:space="preserve"> </w:t>
      </w:r>
      <w:r>
        <w:t xml:space="preserve">Which Red/Black-Hat findings the FPR will strengthen, with the discipline that the FPR is a</w:t>
      </w:r>
      <w:r>
        <w:t xml:space="preserve"> </w:t>
      </w:r>
      <w:r>
        <w:rPr>
          <w:b/>
          <w:bCs/>
        </w:rPr>
        <w:t xml:space="preserve">revision, not a rewrite</w:t>
      </w:r>
      <w:r>
        <w:t xml:space="preserve"> </w:t>
      </w:r>
      <w:r>
        <w:t xml:space="preserve">— nothing in the FPR may contradict the submitted volumes.</w:t>
      </w:r>
      <w:r>
        <w:t xml:space="preserve"> </w:t>
      </w:r>
      <w:r>
        <w:t xml:space="preserve">The FPR plan names the</w:t>
      </w:r>
      <w:r>
        <w:t xml:space="preserve"> </w:t>
      </w:r>
      <w:r>
        <w:rPr>
          <w:b/>
          <w:bCs/>
        </w:rPr>
        <w:t xml:space="preserve">negotiation posture</w:t>
      </w:r>
      <w:r>
        <w:t xml:space="preserve"> </w:t>
      </w:r>
      <w:r>
        <w:t xml:space="preserve">(GC 540): what Helios will concede, what it will hold, and the walk-away line below which the pursuit stops being rational.</w:t>
      </w:r>
    </w:p>
    <w:bookmarkEnd w:id="38"/>
    <w:bookmarkStart w:id="39" w:name="Xbf2ba2fdcb03385c0bd5464af39d2e92ab85307"/>
    <w:p>
      <w:pPr>
        <w:pStyle w:val="Heading3"/>
      </w:pPr>
      <w:r>
        <w:t xml:space="preserve">Week 14 — defense and post-competition analysis</w:t>
      </w:r>
    </w:p>
    <w:p>
      <w:pPr>
        <w:pStyle w:val="FirstParagraph"/>
      </w:pPr>
      <w:r>
        <w:rPr>
          <w:b/>
          <w:bCs/>
        </w:rPr>
        <w:t xml:space="preserve">Deliverable: defense + FPR outcome analysis.</w:t>
      </w:r>
      <w:r>
        <w:t xml:space="preserve"> </w:t>
      </w:r>
      <w:r>
        <w:t xml:space="preserve">The capture manager presents the engagement (the full arc: gate → score → teaming → price → color teams → FPR) to a panel of a practitioner and a faculty researcher, and defends the decisions under questioning — including the hard ones (why the score sat below 0.42 and why Helios pursued anyway). Then, because the competition would have run, the team analyzes the</w:t>
      </w:r>
      <w:r>
        <w:t xml:space="preserve"> </w:t>
      </w:r>
      <w:r>
        <w:rPr>
          <w:b/>
          <w:bCs/>
        </w:rPr>
        <w:t xml:space="preserve">published award</w:t>
      </w:r>
      <w:r>
        <w:t xml:space="preserve"> </w:t>
      </w:r>
      <w:r>
        <w:t xml:space="preserve">against the plan: who won, at what price, and what the FPR strategy would have needed to change. The outcome analysis is graded on honest comparison, not on being right — and it feeds the next pursuit’s pWin factors, which is the point.</w:t>
      </w:r>
    </w:p>
    <w:p>
      <w:r>
        <w:pict>
          <v:rect style="width:0;height:1.5pt" o:hralign="center" o:hrstd="t" o:hr="t"/>
        </w:pict>
      </w:r>
    </w:p>
    <w:bookmarkEnd w:id="39"/>
    <w:bookmarkEnd w:id="40"/>
    <w:bookmarkStart w:id="41" w:name="grading-rubric-per-milestone"/>
    <w:p>
      <w:pPr>
        <w:pStyle w:val="Heading2"/>
      </w:pPr>
      <w:r>
        <w:t xml:space="preserve">Grading rubric per milestone</w:t>
      </w:r>
    </w:p>
    <w:p>
      <w:pPr>
        <w:pStyle w:val="FirstParagraph"/>
      </w:pPr>
      <w:r>
        <w:t xml:space="preserve">The same four-level scale as every capstone —</w:t>
      </w:r>
      <w:r>
        <w:t xml:space="preserve"> </w:t>
      </w:r>
      <w:r>
        <w:rPr>
          <w:b/>
          <w:bCs/>
        </w:rPr>
        <w:t xml:space="preserve">Not Ready · Developing · Proficient · Distinguished</w:t>
      </w:r>
      <w:r>
        <w:t xml:space="preserve"> </w:t>
      </w:r>
      <w:r>
        <w:t xml:space="preserve">— applied at graduate altitude: theory must be</w:t>
      </w:r>
      <w:r>
        <w:t xml:space="preserve"> </w:t>
      </w:r>
      <w:r>
        <w:rPr>
          <w:i/>
          <w:iCs/>
        </w:rPr>
        <w:t xml:space="preserve">used</w:t>
      </w:r>
      <w:r>
        <w:t xml:space="preserve"> </w:t>
      </w:r>
      <w:r>
        <w:t xml:space="preserve">to explain, research must be</w:t>
      </w:r>
      <w:r>
        <w:t xml:space="preserve"> </w:t>
      </w:r>
      <w:r>
        <w:rPr>
          <w:i/>
          <w:iCs/>
        </w:rPr>
        <w:t xml:space="preserve">cited</w:t>
      </w:r>
      <w:r>
        <w:t xml:space="preserve">, and the price must be</w:t>
      </w:r>
      <w:r>
        <w:t xml:space="preserve"> </w:t>
      </w:r>
      <w:r>
        <w:rPr>
          <w:i/>
          <w:iCs/>
        </w:rPr>
        <w:t xml:space="preserve">defensible under audit</w:t>
      </w:r>
      <w:r>
        <w:t xml:space="preserve">.</w:t>
      </w:r>
    </w:p>
    <w:tbl>
      <w:tblPr>
        <w:tblStyle w:val="Table"/>
        <w:tblW w:type="pct" w:w="5000"/>
        <w:jc w:val="left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Week / milestone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Criteria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Not Ready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Proficient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Distinguished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1 · Charter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Gates, decision rights, ethical walls, pursuit budget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 owner; no walls; no budget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Charter names the owner-with-process, the gates, and the pursuit cost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OCI posture designed before the work; the pursuit is managed as a business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2 · Bid/no-bid gate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Argued with theory, not vibes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Call asserted; no market theory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Incumbency, set-asides, and winner’s-curse used to argue the call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Portfolio/option-value frame; the</w:t>
            </w:r>
            <w:r>
              <w:t xml:space="preserve"> </w:t>
            </w:r>
            <w:r>
              <w:t xml:space="preserve">“</w:t>
            </w:r>
            <w:r>
              <w:t xml:space="preserve">should we</w:t>
            </w:r>
            <w:r>
              <w:t xml:space="preserve">”</w:t>
            </w:r>
            <w:r>
              <w:t xml:space="preserve"> </w:t>
            </w:r>
            <w:r>
              <w:t xml:space="preserve">is answered, not just</w:t>
            </w:r>
            <w:r>
              <w:t xml:space="preserve"> </w:t>
            </w:r>
            <w:r>
              <w:t xml:space="preserve">“</w:t>
            </w:r>
            <w:r>
              <w:t xml:space="preserve">can we</w:t>
            </w:r>
            <w:r>
              <w:t xml:space="preserve">”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3 · Score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Research-grounded pWin; survivorship named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Score asserted; no sources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Factors cited; survivorship named; threshold gate recorded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below-0.42 override is a</w:t>
            </w:r>
            <w:r>
              <w:t xml:space="preserve"> </w:t>
            </w:r>
            <w:r>
              <w:rPr>
                <w:i/>
                <w:iCs/>
              </w:rPr>
              <w:t xml:space="preserve">governance decision with a named owner</w:t>
            </w:r>
            <w:r>
              <w:t xml:space="preserve">, not a silent exception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4 · Teaming/JV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Partner rubric, scored and weighted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Posture chosen by instinct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Rubric applied; recommendation defended; the declined option documented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no-JV call is argued on governance cost, not convenience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5 · Win strategy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Discriminators credible; ghost themes suppressed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Themes claimed, not supported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Named-anchor, quantified-target, sustainability-mechanism discriminators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Ghost themes named and suppressed; the strategy would change if Vertex’s posture changed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6 · ORBITAL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Seven axes at firm scale; budget defensible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Axes thin; budget a wish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All axes real; budget reconciles with pricing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Indicators tree maps to the evaluation weights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7 · Proposal plan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Volumes allocated to weights; reviewer independence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 plan; writers review themselves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Page budget follows Section M; independence and locked roster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plan anticipates the production risk that would sink a less-disciplined effort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8 · Price-to-win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Cost floor, range, ceiling; posture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Price is a guess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Floor/range/ceiling argued; posture set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Price sits inside the realism band and survives a DCAA-style audit walk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9 · Volumes I–IV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Four volumes tell one story; PP clean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Volumes contradict each other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Consistent; PP citations relevant and clean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Technical promises are staffed, evidenced, and priced — every seam defended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10 · Pink → Red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Compliance + evaluator stance; findings resolved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Friendly review; vague findings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Findings name factor + evidence + revision; exit rules honored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Red findings resolved before the next color; the log shows the package improving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11 · Gold → Black-Hat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Submit decision; score credibility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Gold a rubber stamp; no Black-Hat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Gold disposition recorded; Black-Hat pulls the score back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Residual risks named before the panel finds them; the score is defensible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12 · Readiness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White-glove; compliance re-run; portal mechanics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Readiness a formality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Readiness checked against the Week-1 charter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35% plan and reps/certs verified; nothing left to the last hour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13 · FPR strategy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What to hold, what to move; no rewrite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 plan; price chased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Price flexes within the floor; technical move named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walk-away line is set; the winner’s curse is refused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14 · Defense + analysis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Survives the panel; learns from the outcome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Evasive; no analysis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Clear, credible; doctrine used under questioning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FPR outcome analysis updates the next pWin; the lesson is stated plainly</w:t>
            </w:r>
          </w:p>
        </w:tc>
      </w:tr>
    </w:tbl>
    <w:p>
      <w:pPr>
        <w:pStyle w:val="BodyText"/>
      </w:pPr>
      <w:r>
        <w:rPr>
          <w:b/>
          <w:bCs/>
        </w:rPr>
        <w:t xml:space="preserve">Composite weight (graduate):</w:t>
      </w:r>
      <w:r>
        <w:t xml:space="preserve"> </w:t>
      </w:r>
      <w:r>
        <w:t xml:space="preserve">Capture strategy and teaming 25 · Price-to-win and finance 25 · Proposal production and color teams 25 · Governance and readiness 15 · Defense 10 — the graduate tier weights the</w:t>
      </w:r>
      <w:r>
        <w:t xml:space="preserve"> </w:t>
      </w:r>
      <w:r>
        <w:rPr>
          <w:i/>
          <w:iCs/>
        </w:rPr>
        <w:t xml:space="preserve">business of the pursuit</w:t>
      </w:r>
      <w:r>
        <w:t xml:space="preserve">, not just the paperwork.</w:t>
      </w:r>
    </w:p>
    <w:p>
      <w:r>
        <w:pict>
          <v:rect style="width:0;height:1.5pt" o:hralign="center" o:hrstd="t" o:hr="t"/>
        </w:pict>
      </w:r>
    </w:p>
    <w:bookmarkEnd w:id="41"/>
    <w:bookmarkStart w:id="44" w:name="where-this-maps-to-shipley-dream-dna"/>
    <w:p>
      <w:pPr>
        <w:pStyle w:val="Heading2"/>
      </w:pPr>
      <w:r>
        <w:t xml:space="preserve">Where this maps to Shipley + Dream DNA</w:t>
      </w:r>
    </w:p>
    <w:p>
      <w:pPr>
        <w:pStyle w:val="BlockText"/>
      </w:pPr>
      <w:r>
        <w:rPr>
          <w:b/>
          <w:bCs/>
        </w:rPr>
        <w:t xml:space="preserve">The industry canon.</w:t>
      </w:r>
      <w:r>
        <w:t xml:space="preserve"> </w:t>
      </w:r>
      <w:r>
        <w:t xml:space="preserve">The ISRA engagement is the Shipley lifecycle at full altitude (</w:t>
      </w:r>
      <w:hyperlink r:id="rId42">
        <w:r>
          <w:rPr>
            <w:rStyle w:val="VerbatimChar"/>
          </w:rPr>
          <w:t xml:space="preserve">literacy/industry-standard-canon.md</w:t>
        </w:r>
      </w:hyperlink>
      <w:r>
        <w:t xml:space="preserve">): the bid/no-bid and threshold gates in Weeks 2–3 are Shipley’s</w:t>
      </w:r>
      <w:r>
        <w:t xml:space="preserve"> </w:t>
      </w:r>
      <w:r>
        <w:rPr>
          <w:b/>
          <w:bCs/>
        </w:rPr>
        <w:t xml:space="preserve">pursuit decision</w:t>
      </w:r>
      <w:r>
        <w:t xml:space="preserve"> </w:t>
      </w:r>
      <w:r>
        <w:t xml:space="preserve">(gate 3) with a portfolio frame; the teaming decision and capture plan in Weeks 4–6 are</w:t>
      </w:r>
      <w:r>
        <w:t xml:space="preserve"> </w:t>
      </w:r>
      <w:r>
        <w:rPr>
          <w:b/>
          <w:bCs/>
        </w:rPr>
        <w:t xml:space="preserve">capture readiness</w:t>
      </w:r>
      <w:r>
        <w:t xml:space="preserve"> </w:t>
      </w:r>
      <w:r>
        <w:t xml:space="preserve">(gate 4); the proposal management plan, volumes, and Pink/Red/Gold/Black-Hat sequence in Weeks 7–12 are</w:t>
      </w:r>
      <w:r>
        <w:t xml:space="preserve"> </w:t>
      </w:r>
      <w:r>
        <w:rPr>
          <w:b/>
          <w:bCs/>
        </w:rPr>
        <w:t xml:space="preserve">proposal planning and production</w:t>
      </w:r>
      <w:r>
        <w:t xml:space="preserve"> </w:t>
      </w:r>
      <w:r>
        <w:t xml:space="preserve">(gate 5) and</w:t>
      </w:r>
      <w:r>
        <w:t xml:space="preserve"> </w:t>
      </w:r>
      <w:r>
        <w:rPr>
          <w:b/>
          <w:bCs/>
        </w:rPr>
        <w:t xml:space="preserve">submission mechanics</w:t>
      </w:r>
      <w:r>
        <w:t xml:space="preserve"> </w:t>
      </w:r>
      <w:r>
        <w:t xml:space="preserve">(gate 6); and Week 13’s FPR strategy is the</w:t>
      </w:r>
      <w:r>
        <w:t xml:space="preserve"> </w:t>
      </w:r>
      <w:r>
        <w:rPr>
          <w:b/>
          <w:bCs/>
        </w:rPr>
        <w:t xml:space="preserve">negotiate</w:t>
      </w:r>
      <w:r>
        <w:t xml:space="preserve"> </w:t>
      </w:r>
      <w:r>
        <w:t xml:space="preserve">stage the Shipley ladder names but most courses never reach. The APMP Body of Knowledge is the vocabulary anchor throughout — capture plan, win themes, discriminators, ghost themes, color teams, compliance matrix, basis of estimate, final proposal revision.</w:t>
      </w:r>
    </w:p>
    <w:p>
      <w:pPr>
        <w:pStyle w:val="BlockText"/>
      </w:pPr>
      <w:r>
        <w:rPr>
          <w:b/>
          <w:bCs/>
        </w:rPr>
        <w:t xml:space="preserve">The Dream DNA.</w:t>
      </w:r>
      <w:r>
        <w:t xml:space="preserve"> </w:t>
      </w:r>
      <w:r>
        <w:t xml:space="preserve">At this scale the machine side of the doctrine is not a study aid; it is the</w:t>
      </w:r>
      <w:r>
        <w:t xml:space="preserve"> </w:t>
      </w:r>
      <w:r>
        <w:rPr>
          <w:i/>
          <w:iCs/>
        </w:rPr>
        <w:t xml:space="preserve">operating system</w:t>
      </w:r>
      <w:r>
        <w:t xml:space="preserve"> </w:t>
      </w:r>
      <w:r>
        <w:t xml:space="preserve">the capture manager works with (</w:t>
      </w:r>
      <w:hyperlink r:id="rId43">
        <w:r>
          <w:rPr>
            <w:rStyle w:val="VerbatimChar"/>
          </w:rPr>
          <w:t xml:space="preserve">align/concept-to-system-map.md</w:t>
        </w:r>
      </w:hyperlink>
      <w:r>
        <w:t xml:space="preserve">). The Week-3 score is the</w:t>
      </w:r>
      <w:r>
        <w:t xml:space="preserve"> </w:t>
      </w:r>
      <w:r>
        <w:rPr>
          <w:b/>
          <w:bCs/>
        </w:rPr>
        <w:t xml:space="preserve">seven-factor composite</w:t>
      </w:r>
      <w:r>
        <w:t xml:space="preserve"> </w:t>
      </w:r>
      <w:r>
        <w:t xml:space="preserve">operationalized for a $28M IDIQ. The</w:t>
      </w:r>
      <w:r>
        <w:t xml:space="preserve"> </w:t>
      </w:r>
      <w:r>
        <w:rPr>
          <w:b/>
          <w:bCs/>
        </w:rPr>
        <w:t xml:space="preserve">0.42 threshold gate</w:t>
      </w:r>
      <w:r>
        <w:t xml:space="preserve"> </w:t>
      </w:r>
      <w:r>
        <w:t xml:space="preserve">and the below-threshold override are the governance decisions the pipeline’s threshold gate exists to force. The Week-6 ORBITAL is the same seven-axis object the machine encodes, and the Week-9</w:t>
      </w:r>
      <w:r>
        <w:t xml:space="preserve"> </w:t>
      </w:r>
      <w:r>
        <w:rPr>
          <w:b/>
          <w:bCs/>
        </w:rPr>
        <w:t xml:space="preserve">four-volume bundle</w:t>
      </w:r>
      <w:r>
        <w:t xml:space="preserve"> </w:t>
      </w:r>
      <w:r>
        <w:t xml:space="preserve">is the same shape the DNA corpus turns an ORBITAL into for a FAR Part 15 competition. The Week-13 FPR strategy is where the human reads the machine’s calibration data honestly — the probability-of-win estimate, the funder/agency calibration bands, the drift warnings — and decides the final move with a clear head. A graduate who can run this engagement on paper can walk into any capture organization in the industry, read its machinery in a day, and run the same discipline on the firm’s tooling.</w:t>
      </w:r>
    </w:p>
    <w:p>
      <w:r>
        <w:pict>
          <v:rect style="width:0;height:1.5pt" o:hralign="center" o:hrstd="t" o:hr="t"/>
        </w:pict>
      </w:r>
    </w:p>
    <w:bookmarkEnd w:id="44"/>
    <w:bookmarkStart w:id="45" w:name="the-capstone-in-one-sentence"/>
    <w:p>
      <w:pPr>
        <w:pStyle w:val="Heading2"/>
      </w:pPr>
      <w:r>
        <w:t xml:space="preserve">The capstone in one sentence</w:t>
      </w:r>
    </w:p>
    <w:p>
      <w:pPr>
        <w:pStyle w:val="FirstParagraph"/>
      </w:pPr>
      <w:r>
        <w:rPr>
          <w:b/>
          <w:bCs/>
        </w:rPr>
        <w:t xml:space="preserve">A $28M, multi-prime capture engagement run as a business: a bid/no-bid call argued with theory, a research-grounded score that forces an honest governance override, a teaming decision scored against a partner rubric, a price-to-win that is a position and not a guess, a four-volume proposal that survives Pink, Red, Gold, and Black-Hat, and a final-proposal-revision strategy that refuses the winner’s curse — defended before a panel that has sat in the source-selection room.</w:t>
      </w:r>
    </w:p>
    <w:bookmarkEnd w:id="45"/>
    <w:bookmarkEnd w:id="4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3" Type="http://schemas.openxmlformats.org/officeDocument/2006/relationships/settings" Target="settings.xml"/><Relationship Id="rId42" Type="http://schemas.openxmlformats.org/officeDocument/2006/relationships/hyperlink" Target="../../literacy/industry-standard-canon.md" TargetMode="External"/><Relationship Id="rId7" Type="http://schemas.openxmlformats.org/officeDocument/2006/relationships/footnotes" Target="footnotes.xml"/><Relationship Id="rId46" Type="http://schemas.openxmlformats.org/officeDocument/2006/relationships/customXml" Target="../customXml/item3.xml"/><Relationship Id="rId2" Type="http://schemas.openxmlformats.org/officeDocument/2006/relationships/styles" Target="styles.xml"/><Relationship Id="rId20" Type="http://schemas.openxmlformats.org/officeDocument/2006/relationships/hyperlink" Target="../../course/graduate-program-overview.md" TargetMode="Externa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45" Type="http://schemas.openxmlformats.org/officeDocument/2006/relationships/customXml" Target="../customXml/item2.xml"/><Relationship Id="rId5" Type="http://schemas.openxmlformats.org/officeDocument/2006/relationships/fontTable" Target="fontTable.xml"/><Relationship Id="rId44" Type="http://schemas.openxmlformats.org/officeDocument/2006/relationships/customXml" Target="../customXml/item1.xml"/><Relationship Id="rId4" Type="http://schemas.openxmlformats.org/officeDocument/2006/relationships/webSettings" Target="webSettings.xml"/><Relationship Id="rId43" Type="http://schemas.openxmlformats.org/officeDocument/2006/relationships/hyperlink" Target="../../align/concept-to-system-map.md" TargetMode="External"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43" Target="../../align/concept-to-system-map.md" TargetMode="External" /><Relationship Type="http://schemas.openxmlformats.org/officeDocument/2006/relationships/hyperlink" Id="rId20" Target="../../course/graduate-program-overview.md" TargetMode="External" /><Relationship Type="http://schemas.openxmlformats.org/officeDocument/2006/relationships/hyperlink" Id="rId42" Target="../../literacy/industry-standard-canon.m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8F89D4DBC9164EAAD077F6A65CDF0A" ma:contentTypeVersion="27" ma:contentTypeDescription="Create a new document." ma:contentTypeScope="" ma:versionID="7fef060ed95bf7b4c871fb5590ffba56">
  <xsd:schema xmlns:xsd="http://www.w3.org/2001/XMLSchema" xmlns:xs="http://www.w3.org/2001/XMLSchema" xmlns:p="http://schemas.microsoft.com/office/2006/metadata/properties" xmlns:ns2="8776939f-5711-4b7e-8619-ef1d6035b8e5" xmlns:ns3="94a181e0-1203-41b9-8ae0-2dcd1a719fc0" targetNamespace="http://schemas.microsoft.com/office/2006/metadata/properties" ma:root="true" ma:fieldsID="1ac12e87290b2432eb1ed38730e28d76" ns2:_="" ns3:_="">
    <xsd:import namespace="8776939f-5711-4b7e-8619-ef1d6035b8e5"/>
    <xsd:import namespace="94a181e0-1203-41b9-8ae0-2dcd1a719f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ynoy" minOccurs="0"/>
                <xsd:element ref="ns2:bb08d3d8-654e-405a-bd2f-eb04bd0c1711CountryOrRegion" minOccurs="0"/>
                <xsd:element ref="ns2:bb08d3d8-654e-405a-bd2f-eb04bd0c1711State" minOccurs="0"/>
                <xsd:element ref="ns2:bb08d3d8-654e-405a-bd2f-eb04bd0c1711City" minOccurs="0"/>
                <xsd:element ref="ns2:bb08d3d8-654e-405a-bd2f-eb04bd0c1711PostalCode" minOccurs="0"/>
                <xsd:element ref="ns2:bb08d3d8-654e-405a-bd2f-eb04bd0c1711Street" minOccurs="0"/>
                <xsd:element ref="ns2:bb08d3d8-654e-405a-bd2f-eb04bd0c1711GeoLoc" minOccurs="0"/>
                <xsd:element ref="ns2:bb08d3d8-654e-405a-bd2f-eb04bd0c1711DispNam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Budge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76939f-5711-4b7e-8619-ef1d6035b8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ynoy" ma:index="19" nillable="true" ma:displayName="Location" ma:internalName="ynoy">
      <xsd:simpleType>
        <xsd:restriction base="dms:Unknown"/>
      </xsd:simpleType>
    </xsd:element>
    <xsd:element name="bb08d3d8-654e-405a-bd2f-eb04bd0c1711CountryOrRegion" ma:index="20" nillable="true" ma:displayName="Location: Country/Region" ma:internalName="CountryOrRegion" ma:readOnly="true">
      <xsd:simpleType>
        <xsd:restriction base="dms:Text"/>
      </xsd:simpleType>
    </xsd:element>
    <xsd:element name="bb08d3d8-654e-405a-bd2f-eb04bd0c1711State" ma:index="21" nillable="true" ma:displayName="Location: State" ma:internalName="State" ma:readOnly="true">
      <xsd:simpleType>
        <xsd:restriction base="dms:Text"/>
      </xsd:simpleType>
    </xsd:element>
    <xsd:element name="bb08d3d8-654e-405a-bd2f-eb04bd0c1711City" ma:index="22" nillable="true" ma:displayName="Location: City" ma:internalName="City" ma:readOnly="true">
      <xsd:simpleType>
        <xsd:restriction base="dms:Text"/>
      </xsd:simpleType>
    </xsd:element>
    <xsd:element name="bb08d3d8-654e-405a-bd2f-eb04bd0c1711PostalCode" ma:index="23" nillable="true" ma:displayName="Location: Postal Code" ma:internalName="PostalCode" ma:readOnly="true">
      <xsd:simpleType>
        <xsd:restriction base="dms:Text"/>
      </xsd:simpleType>
    </xsd:element>
    <xsd:element name="bb08d3d8-654e-405a-bd2f-eb04bd0c1711Street" ma:index="24" nillable="true" ma:displayName="Location: Street" ma:internalName="Street" ma:readOnly="true">
      <xsd:simpleType>
        <xsd:restriction base="dms:Text"/>
      </xsd:simpleType>
    </xsd:element>
    <xsd:element name="bb08d3d8-654e-405a-bd2f-eb04bd0c1711GeoLoc" ma:index="25" nillable="true" ma:displayName="Location: Coordinates" ma:internalName="GeoLoc" ma:readOnly="true">
      <xsd:simpleType>
        <xsd:restriction base="dms:Unknown"/>
      </xsd:simpleType>
    </xsd:element>
    <xsd:element name="bb08d3d8-654e-405a-bd2f-eb04bd0c1711DispName" ma:index="26" nillable="true" ma:displayName="Location: Name" ma:internalName="DispName" ma:readOnly="true">
      <xsd:simpleType>
        <xsd:restriction base="dms:Text"/>
      </xsd:simpleType>
    </xsd:element>
    <xsd:element name="MediaLengthInSeconds" ma:index="2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9" nillable="true" ma:taxonomy="true" ma:internalName="lcf76f155ced4ddcb4097134ff3c332f" ma:taxonomyFieldName="MediaServiceImageTags" ma:displayName="Image Tags" ma:readOnly="false" ma:fieldId="{5cf76f15-5ced-4ddc-b409-7134ff3c332f}" ma:taxonomyMulti="true" ma:sspId="52472cf3-6fa7-482d-9f4f-6fbad59795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Budget" ma:index="33" nillable="true" ma:displayName="Budget" ma:format="Dropdown" ma:internalName="Budge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a181e0-1203-41b9-8ae0-2dcd1a719fc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6bd40d36-168b-49d0-9c35-89ec5f868836}" ma:internalName="TaxCatchAll" ma:showField="CatchAllData" ma:web="94a181e0-1203-41b9-8ae0-2dcd1a719f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noy xmlns="8776939f-5711-4b7e-8619-ef1d6035b8e5" xsi:nil="true"/>
    <Budget xmlns="8776939f-5711-4b7e-8619-ef1d6035b8e5" xsi:nil="true"/>
    <lcf76f155ced4ddcb4097134ff3c332f xmlns="8776939f-5711-4b7e-8619-ef1d6035b8e5">
      <Terms xmlns="http://schemas.microsoft.com/office/infopath/2007/PartnerControls"/>
    </lcf76f155ced4ddcb4097134ff3c332f>
    <TaxCatchAll xmlns="94a181e0-1203-41b9-8ae0-2dcd1a719fc0" xsi:nil="true"/>
  </documentManagement>
</p:properties>
</file>

<file path=customXml/itemProps1.xml><?xml version="1.0" encoding="utf-8"?>
<ds:datastoreItem xmlns:ds="http://schemas.openxmlformats.org/officeDocument/2006/customXml" ds:itemID="{5AAD8643-A2D9-4E67-907B-CA143493B4ED}"/>
</file>

<file path=customXml/itemProps2.xml><?xml version="1.0" encoding="utf-8"?>
<ds:datastoreItem xmlns:ds="http://schemas.openxmlformats.org/officeDocument/2006/customXml" ds:itemID="{B818ADE9-7F4E-4C2B-BC55-F156FF263038}"/>
</file>

<file path=customXml/itemProps3.xml><?xml version="1.0" encoding="utf-8"?>
<ds:datastoreItem xmlns:ds="http://schemas.openxmlformats.org/officeDocument/2006/customXml" ds:itemID="{1EE48BFA-D052-4D75-AA91-E3A7884FF68A}"/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2026-08-05T15:37:51Z</dcterms:created>
  <dcterms:modified xsi:type="dcterms:W3CDTF">2026-08-05T15:37:51Z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0x010100D88F89D4DBC9164EAAD077F6A65CDF0A</vt:lpwstr>
  </property>
</Properties>
</file>