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5d18692728f33f372424117a3f1a3209fe0b06e"/>
    <w:p>
      <w:pPr>
        <w:pStyle w:val="Heading1"/>
      </w:pPr>
      <w:r>
        <w:t xml:space="preserve">Sample Capstone — Empirical Study of the Calibration Engine &amp; the Golden Thread</w:t>
      </w:r>
    </w:p>
    <w:p>
      <w:pPr>
        <w:pStyle w:val="FirstParagraph"/>
      </w:pPr>
      <w:r>
        <w:rPr>
          <w:i/>
          <w:iCs/>
        </w:rPr>
        <w:t xml:space="preserve">A complete, worked doctoral capstone: a research design a doctoral candidate could execute to test the discipline’s own empirical machinery — is the win-probability estimate calibrated, does the versioned DNA corpus change outcomes, and what explains confidence and success across agents, methods, DNA versions, and opportunity types?</w:t>
      </w:r>
    </w:p>
    <w:p>
      <w:pPr>
        <w:pStyle w:val="BlockText"/>
      </w:pPr>
      <w:r>
        <w:rPr>
          <w:b/>
          <w:bCs/>
        </w:rPr>
        <w:t xml:space="preserve">What this is.</w:t>
      </w:r>
      <w:r>
        <w:t xml:space="preserve"> </w:t>
      </w:r>
      <w:r>
        <w:t xml:space="preserve">The assignment briefs for the doctoral tier live in</w:t>
      </w:r>
      <w:r>
        <w:t xml:space="preserve"> </w:t>
      </w:r>
      <w:hyperlink r:id="rId20">
        <w:r>
          <w:rPr>
            <w:rStyle w:val="VerbatimChar"/>
          </w:rPr>
          <w:t xml:space="preserve">course/doctoral-program-overview.md</w:t>
        </w:r>
      </w:hyperlink>
      <w:r>
        <w:t xml:space="preserve"> </w:t>
      </w:r>
      <w:r>
        <w:t xml:space="preserve">(DL 901–DL 903 and DL 990), and the dissertation sequence is mapped in</w:t>
      </w:r>
      <w:r>
        <w:t xml:space="preserve"> </w:t>
      </w:r>
      <w:hyperlink r:id="rId21">
        <w:r>
          <w:rPr>
            <w:rStyle w:val="VerbatimChar"/>
          </w:rPr>
          <w:t xml:space="preserve">course/doctoral-dissertation-sequence.md</w:t>
        </w:r>
      </w:hyperlink>
      <w:r>
        <w:t xml:space="preserve">. This page is a</w:t>
      </w:r>
      <w:r>
        <w:t xml:space="preserve"> </w:t>
      </w:r>
      <w:r>
        <w:rPr>
          <w:b/>
          <w:bCs/>
        </w:rPr>
        <w:t xml:space="preserve">model answer</w:t>
      </w:r>
      <w:r>
        <w:t xml:space="preserve"> </w:t>
      </w:r>
      <w:r>
        <w:t xml:space="preserve">— a sample research design, the deliverable the DL 903 seminar asks for and that grows into the DL 990 dissertation. It is written to be read by a candidate who must design</w:t>
      </w:r>
      <w:r>
        <w:t xml:space="preserve"> </w:t>
      </w:r>
      <w:r>
        <w:rPr>
          <w:i/>
          <w:iCs/>
        </w:rPr>
        <w:t xml:space="preserve">their own</w:t>
      </w:r>
      <w:r>
        <w:t xml:space="preserve"> </w:t>
      </w:r>
      <w:r>
        <w:t xml:space="preserve">study and by a committee that must judge it. It is deliberately concept-first: the machinery is studied as</w:t>
      </w:r>
      <w:r>
        <w:t xml:space="preserve"> </w:t>
      </w:r>
      <w:r>
        <w:rPr>
          <w:i/>
          <w:iCs/>
        </w:rPr>
        <w:t xml:space="preserve">concepts</w:t>
      </w:r>
      <w:r>
        <w:t xml:space="preserve"> </w:t>
      </w:r>
      <w:r>
        <w:t xml:space="preserve">— what each piece claims, and how you would test the claim — with no lesson requiring the operation of any product (the doctoral tier’s stack-agnostic pledge, doctrine/08).</w:t>
      </w:r>
    </w:p>
    <w:p>
      <w:pPr>
        <w:pStyle w:val="BlockText"/>
      </w:pPr>
      <w:r>
        <w:rPr>
          <w:b/>
          <w:bCs/>
        </w:rPr>
        <w:t xml:space="preserve">The research object.</w:t>
      </w:r>
      <w:r>
        <w:t xml:space="preserve"> </w:t>
      </w:r>
      <w:r>
        <w:t xml:space="preserve">The pursuit discipline has built an empirical apparatus that</w:t>
      </w:r>
      <w:r>
        <w:t xml:space="preserve"> </w:t>
      </w:r>
      <w:r>
        <w:rPr>
          <w:i/>
          <w:iCs/>
        </w:rPr>
        <w:t xml:space="preserve">makes predictions that can be checked against reality</w:t>
      </w:r>
      <w:r>
        <w:t xml:space="preserve">. That apparatus — and the pairing of</w:t>
      </w:r>
      <w:r>
        <w:t xml:space="preserve"> </w:t>
      </w:r>
      <w:r>
        <w:rPr>
          <w:i/>
          <w:iCs/>
        </w:rPr>
        <w:t xml:space="preserve">predicted</w:t>
      </w:r>
      <w:r>
        <w:t xml:space="preserve"> </w:t>
      </w:r>
      <w:r>
        <w:t xml:space="preserve">with</w:t>
      </w:r>
      <w:r>
        <w:t xml:space="preserve"> </w:t>
      </w:r>
      <w:r>
        <w:rPr>
          <w:i/>
          <w:iCs/>
        </w:rPr>
        <w:t xml:space="preserve">observed</w:t>
      </w:r>
      <w:r>
        <w:t xml:space="preserve"> </w:t>
      </w:r>
      <w:r>
        <w:t xml:space="preserve">— is the single most underused asset in the field. This sample design shows a candidate how to turn one claim of that apparatus into a dissertation.</w:t>
      </w:r>
    </w:p>
    <w:p>
      <w:pPr>
        <w:pStyle w:val="FirstParagraph"/>
      </w:pPr>
      <w:r>
        <w:rPr>
          <w:b/>
          <w:bCs/>
        </w:rPr>
        <w:t xml:space="preserve">Tier:</w:t>
      </w:r>
      <w:r>
        <w:t xml:space="preserve"> </w:t>
      </w:r>
      <w:r>
        <w:t xml:space="preserve">doctoral (research doctorate) ·</w:t>
      </w:r>
      <w:r>
        <w:t xml:space="preserve"> </w:t>
      </w:r>
      <w:r>
        <w:rPr>
          <w:b/>
          <w:bCs/>
        </w:rPr>
        <w:t xml:space="preserve">Course anchor:</w:t>
      </w:r>
      <w:r>
        <w:t xml:space="preserve"> </w:t>
      </w:r>
      <w:r>
        <w:t xml:space="preserve">DL 903 (seminar research design) → DL 990 (dissertation) ·</w:t>
      </w:r>
      <w:r>
        <w:t xml:space="preserve"> </w:t>
      </w:r>
      <w:r>
        <w:rPr>
          <w:b/>
          <w:bCs/>
        </w:rPr>
        <w:t xml:space="preserve">Format:</w:t>
      </w:r>
      <w:r>
        <w:t xml:space="preserve"> </w:t>
      </w:r>
      <w:r>
        <w:t xml:space="preserve">individual; supervised by a dissertation committee ·</w:t>
      </w:r>
      <w:r>
        <w:t xml:space="preserve"> </w:t>
      </w:r>
      <w:r>
        <w:rPr>
          <w:b/>
          <w:bCs/>
        </w:rPr>
        <w:t xml:space="preserve">Duration:</w:t>
      </w:r>
      <w:r>
        <w:t xml:space="preserve"> </w:t>
      </w:r>
      <w:r>
        <w:t xml:space="preserve">the design is the DL 903 deliverable; the executed study is a 2–3½ year dissertation ·</w:t>
      </w:r>
      <w:r>
        <w:t xml:space="preserve"> </w:t>
      </w:r>
      <w:r>
        <w:rPr>
          <w:b/>
          <w:bCs/>
        </w:rPr>
        <w:t xml:space="preserve">Tools:</w:t>
      </w:r>
      <w:r>
        <w:t xml:space="preserve"> </w:t>
      </w:r>
      <w:r>
        <w:t xml:space="preserve">none required — the design is expressed in concepts and standard research methods.</w:t>
      </w:r>
    </w:p>
    <w:p>
      <w:r>
        <w:pict>
          <v:rect style="width:0;height:1.5pt" o:hralign="center" o:hrstd="t" o:hr="t"/>
        </w:pict>
      </w:r>
    </w:p>
    <w:bookmarkStart w:id="22" w:name="X7f1faf2f10053ba1e2a0a40a001c54987d51eaf"/>
    <w:p>
      <w:pPr>
        <w:pStyle w:val="Heading2"/>
      </w:pPr>
      <w:r>
        <w:t xml:space="preserve">The discipline’s empirical machinery, at concept level</w:t>
      </w:r>
    </w:p>
    <w:p>
      <w:pPr>
        <w:pStyle w:val="FirstParagraph"/>
      </w:pPr>
      <w:r>
        <w:t xml:space="preserve">Before the design, the object of study — the machinery this capstone tests. The discipline encodes its doctrine in a</w:t>
      </w:r>
      <w:r>
        <w:t xml:space="preserve"> </w:t>
      </w:r>
      <w:r>
        <w:rPr>
          <w:b/>
          <w:bCs/>
        </w:rPr>
        <w:t xml:space="preserve">versioned package</w:t>
      </w:r>
      <w:r>
        <w:t xml:space="preserve"> </w:t>
      </w:r>
      <w:r>
        <w:t xml:space="preserve">— rules, playbooks, formulas, and a research corpus (the</w:t>
      </w:r>
      <w:r>
        <w:t xml:space="preserve"> </w:t>
      </w:r>
      <w:r>
        <w:rPr>
          <w:b/>
          <w:bCs/>
        </w:rPr>
        <w:t xml:space="preserve">DNA corpus</w:t>
      </w:r>
      <w:r>
        <w:t xml:space="preserve">) — and around that package sits an empirical apparatus: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win-probability composite.</w:t>
      </w:r>
      <w:r>
        <w:t xml:space="preserve"> </w:t>
      </w:r>
      <w:r>
        <w:t xml:space="preserve">A weighted composite of factor scores — past performance, technical capability, price competitiveness, incumbent/relationship advantage, team strength, customer knowledge, strategic alignment — normalized to a 0-to-1</w:t>
      </w:r>
      <w:r>
        <w:t xml:space="preserve"> </w:t>
      </w:r>
      <w:r>
        <w:rPr>
          <w:b/>
          <w:bCs/>
        </w:rPr>
        <w:t xml:space="preserve">probability of win (pWin)</w:t>
      </w:r>
      <w:r>
        <w:t xml:space="preserve">. It is the discipline’s canonical instrument for its most important judgment.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prediction-and-outcome record.</w:t>
      </w:r>
      <w:r>
        <w:t xml:space="preserve"> </w:t>
      </w:r>
      <w:r>
        <w:t xml:space="preserve">For each pursued opportunity, a stored</w:t>
      </w:r>
      <w:r>
        <w:t xml:space="preserve"> </w:t>
      </w:r>
      <w:r>
        <w:rPr>
          <w:b/>
          <w:bCs/>
        </w:rPr>
        <w:t xml:space="preserve">predicted pWin at decision time</w:t>
      </w:r>
      <w:r>
        <w:t xml:space="preserve">, joined eventually to a</w:t>
      </w:r>
      <w:r>
        <w:t xml:space="preserve"> </w:t>
      </w:r>
      <w:r>
        <w:rPr>
          <w:b/>
          <w:bCs/>
        </w:rPr>
        <w:t xml:space="preserve">terminal outcome</w:t>
      </w:r>
      <w:r>
        <w:t xml:space="preserve"> </w:t>
      </w:r>
      <w:r>
        <w:t xml:space="preserve">(won / lost / withdrawn). This pairing —</w:t>
      </w:r>
      <w:r>
        <w:t xml:space="preserve"> </w:t>
      </w:r>
      <w:r>
        <w:rPr>
          <w:i/>
          <w:iCs/>
        </w:rPr>
        <w:t xml:space="preserve">predicted</w:t>
      </w:r>
      <w:r>
        <w:t xml:space="preserve"> </w:t>
      </w:r>
      <w:r>
        <w:t xml:space="preserve">and</w:t>
      </w:r>
      <w:r>
        <w:t xml:space="preserve"> </w:t>
      </w:r>
      <w:r>
        <w:rPr>
          <w:i/>
          <w:iCs/>
        </w:rPr>
        <w:t xml:space="preserve">observed</w:t>
      </w:r>
      <w:r>
        <w:t xml:space="preserve"> </w:t>
      </w:r>
      <w:r>
        <w:t xml:space="preserve">— is the field’s empirical goldmine.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calibration monitor.</w:t>
      </w:r>
      <w:r>
        <w:t xml:space="preserve"> </w:t>
      </w:r>
      <w:r>
        <w:t xml:space="preserve">The statistics that check whether estimates stay honest:</w:t>
      </w:r>
      <w:r>
        <w:t xml:space="preserve"> </w:t>
      </w:r>
      <w:r>
        <w:rPr>
          <w:b/>
          <w:bCs/>
        </w:rPr>
        <w:t xml:space="preserve">reliability diagrams</w:t>
      </w:r>
      <w:r>
        <w:t xml:space="preserve"> </w:t>
      </w:r>
      <w:r>
        <w:t xml:space="preserve">(observed win rate vs. predicted, by band),</w:t>
      </w:r>
      <w:r>
        <w:t xml:space="preserve"> </w:t>
      </w:r>
      <w:r>
        <w:rPr>
          <w:b/>
          <w:bCs/>
        </w:rPr>
        <w:t xml:space="preserve">Brier score</w:t>
      </w:r>
      <w:r>
        <w:t xml:space="preserve"> </w:t>
      </w:r>
      <w:r>
        <w:t xml:space="preserve">(mean squared error of the probability),</w:t>
      </w:r>
      <w:r>
        <w:t xml:space="preserve"> </w:t>
      </w:r>
      <w:r>
        <w:rPr>
          <w:b/>
          <w:bCs/>
        </w:rPr>
        <w:t xml:space="preserve">log-loss</w:t>
      </w:r>
      <w:r>
        <w:t xml:space="preserve"> </w:t>
      </w:r>
      <w:r>
        <w:t xml:space="preserve">(penalizing confident errors),</w:t>
      </w:r>
      <w:r>
        <w:t xml:space="preserve"> </w:t>
      </w:r>
      <w:r>
        <w:rPr>
          <w:b/>
          <w:bCs/>
        </w:rPr>
        <w:t xml:space="preserve">expected calibration error (ECE)</w:t>
      </w:r>
      <w:r>
        <w:t xml:space="preserve"> </w:t>
      </w:r>
      <w:r>
        <w:t xml:space="preserve">(the sample-weighted average reliability gap), and</w:t>
      </w:r>
      <w:r>
        <w:t xml:space="preserve"> </w:t>
      </w:r>
      <w:r>
        <w:rPr>
          <w:b/>
          <w:bCs/>
        </w:rPr>
        <w:t xml:space="preserve">population stability index (PSI)</w:t>
      </w:r>
      <w:r>
        <w:t xml:space="preserve"> </w:t>
      </w:r>
      <w:r>
        <w:t xml:space="preserve">(whether the distribution of predictions has drifted from baseline). The monitor bands drift into</w:t>
      </w:r>
      <w:r>
        <w:t xml:space="preserve"> </w:t>
      </w:r>
      <w:r>
        <w:rPr>
          <w:i/>
          <w:iCs/>
        </w:rPr>
        <w:t xml:space="preserve">watch / warn / critical</w:t>
      </w:r>
      <w:r>
        <w:t xml:space="preserve"> </w:t>
      </w:r>
      <w:r>
        <w:t xml:space="preserve">and recalibrates with a</w:t>
      </w:r>
      <w:r>
        <w:t xml:space="preserve"> </w:t>
      </w:r>
      <w:r>
        <w:rPr>
          <w:b/>
          <w:bCs/>
        </w:rPr>
        <w:t xml:space="preserve">monotone remap</w:t>
      </w:r>
      <w:r>
        <w:t xml:space="preserve"> </w:t>
      </w:r>
      <w:r>
        <w:t xml:space="preserve">— a curve that raises low estimates and lowers high ones while never reversing the ordering of opportunities.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golden-thread verification.</w:t>
      </w:r>
      <w:r>
        <w:t xml:space="preserve"> </w:t>
      </w:r>
      <w:r>
        <w:t xml:space="preserve">A staged, reproducible end-to-end walk of the whole pursuit pipeline — prerequisites, seeding, sensing, scoring, gating, designing, analyzing, and the human-facing portal — executed against one canonical</w:t>
      </w:r>
      <w:r>
        <w:t xml:space="preserve"> </w:t>
      </w:r>
      <w:r>
        <w:rPr>
          <w:b/>
          <w:bCs/>
        </w:rPr>
        <w:t xml:space="preserve">canary company</w:t>
      </w:r>
      <w:r>
        <w:t xml:space="preserve">, with each stage reporting pass / warn / fail and the run concluding in an overall green / amber / red status. It is a</w:t>
      </w:r>
      <w:r>
        <w:t xml:space="preserve"> </w:t>
      </w:r>
      <w:r>
        <w:rPr>
          <w:i/>
          <w:iCs/>
        </w:rPr>
        <w:t xml:space="preserve">reproducible research pipeline</w:t>
      </w:r>
      <w:r>
        <w:t xml:space="preserve"> </w:t>
      </w:r>
      <w:r>
        <w:t xml:space="preserve">for a whole discipline.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DNA version lineage.</w:t>
      </w:r>
      <w:r>
        <w:t xml:space="preserve"> </w:t>
      </w:r>
      <w:r>
        <w:t xml:space="preserve">The corpus itself is versioned (semver-style). Every rule, playbook, and formula change is a</w:t>
      </w:r>
      <w:r>
        <w:t xml:space="preserve"> </w:t>
      </w:r>
      <w:r>
        <w:rPr>
          <w:b/>
          <w:bCs/>
        </w:rPr>
        <w:t xml:space="preserve">version event</w:t>
      </w:r>
      <w:r>
        <w:t xml:space="preserve"> </w:t>
      </w:r>
      <w:r>
        <w:t xml:space="preserve">— and each version event is a natural experiment in whether the doctrine’s own evolution improves its predictions.</w:t>
      </w:r>
    </w:p>
    <w:p>
      <w:pPr>
        <w:pStyle w:val="FirstParagraph"/>
      </w:pPr>
      <w:r>
        <w:t xml:space="preserve">The hidden assumption under all of it, stated once:</w:t>
      </w:r>
      <w:r>
        <w:t xml:space="preserve"> </w:t>
      </w:r>
      <w:r>
        <w:rPr>
          <w:b/>
          <w:bCs/>
        </w:rPr>
        <w:t xml:space="preserve">the apparatus assumes its estimates mean something — that a 0.7 means roughly 70%.</w:t>
      </w:r>
      <w:r>
        <w:t xml:space="preserve"> </w:t>
      </w:r>
      <w:r>
        <w:t xml:space="preserve">This capstone designs the study that checks.</w:t>
      </w:r>
    </w:p>
    <w:p>
      <w:r>
        <w:pict>
          <v:rect style="width:0;height:1.5pt" o:hralign="center" o:hrstd="t" o:hr="t"/>
        </w:pict>
      </w:r>
    </w:p>
    <w:bookmarkEnd w:id="22"/>
    <w:bookmarkStart w:id="23" w:name="the-research-question-bank"/>
    <w:p>
      <w:pPr>
        <w:pStyle w:val="Heading2"/>
      </w:pPr>
      <w:r>
        <w:t xml:space="preserve">The research question bank</w:t>
      </w:r>
    </w:p>
    <w:p>
      <w:pPr>
        <w:pStyle w:val="FirstParagraph"/>
      </w:pPr>
      <w:r>
        <w:t xml:space="preserve">A candidate may build a dissertation on any question here. Each is falsifiable, feasible, and (in this young field) a real contribution. The bank is organized into the three families the title names —</w:t>
      </w:r>
      <w:r>
        <w:t xml:space="preserve"> </w:t>
      </w:r>
      <w:r>
        <w:rPr>
          <w:b/>
          <w:bCs/>
        </w:rPr>
        <w:t xml:space="preserve">calibration</w:t>
      </w:r>
      <w:r>
        <w:t xml:space="preserve">,</w:t>
      </w:r>
      <w:r>
        <w:t xml:space="preserve"> </w:t>
      </w:r>
      <w:r>
        <w:rPr>
          <w:b/>
          <w:bCs/>
        </w:rPr>
        <w:t xml:space="preserve">DNA-version evolution</w:t>
      </w:r>
      <w:r>
        <w:t xml:space="preserve">, and</w:t>
      </w:r>
      <w:r>
        <w:t xml:space="preserve"> </w:t>
      </w:r>
      <w:r>
        <w:rPr>
          <w:b/>
          <w:bCs/>
        </w:rPr>
        <w:t xml:space="preserve">attribution</w:t>
      </w:r>
      <w:r>
        <w:t xml:space="preserve"> </w:t>
      </w:r>
      <w:r>
        <w:t xml:space="preserve">— plus the golden-thread methodology family.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Family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Research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claim it tests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the win-probability composite</w:t>
            </w:r>
            <w:r>
              <w:t xml:space="preserve"> </w:t>
            </w:r>
            <w:r>
              <w:rPr>
                <w:i/>
                <w:iCs/>
              </w:rPr>
              <w:t xml:space="preserve">calibrated</w:t>
            </w:r>
            <w:r>
              <w:t xml:space="preserve"> </w:t>
            </w:r>
            <w:r>
              <w:t xml:space="preserve">— does a 0.7 estimate win roughly 70% of the time?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apparatus’s central claim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In which prediction bands is the composite over- or under-confident?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Reliability is not uniform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calibration hold across</w:t>
            </w:r>
            <w:r>
              <w:t xml:space="preserve"> </w:t>
            </w:r>
            <w:r>
              <w:rPr>
                <w:b/>
                <w:bCs/>
              </w:rPr>
              <w:t xml:space="preserve">funder families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b/>
                <w:bCs/>
              </w:rPr>
              <w:t xml:space="preserve">agencies</w:t>
            </w:r>
            <w:r>
              <w:t xml:space="preserve">, or is a composite calibrated in one population miscalibrated in another?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weights generalize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calibration</w:t>
            </w:r>
            <w:r>
              <w:t xml:space="preserve"> </w:t>
            </w:r>
            <w:r>
              <w:rPr>
                <w:b/>
                <w:bCs/>
              </w:rPr>
              <w:t xml:space="preserve">drift over time</w:t>
            </w:r>
            <w:r>
              <w:t xml:space="preserve">, and does drift predictably precede a market or estimator change?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monitor’s early-warning claim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</w:t>
            </w:r>
            <w:r>
              <w:t xml:space="preserve"> </w:t>
            </w:r>
            <w:r>
              <w:rPr>
                <w:b/>
                <w:bCs/>
              </w:rPr>
              <w:t xml:space="preserve">structured composites</w:t>
            </w:r>
            <w:r>
              <w:t xml:space="preserve"> </w:t>
            </w:r>
            <w:r>
              <w:t xml:space="preserve">calibrate better than</w:t>
            </w:r>
            <w:r>
              <w:t xml:space="preserve"> </w:t>
            </w:r>
            <w:r>
              <w:rPr>
                <w:b/>
                <w:bCs/>
              </w:rPr>
              <w:t xml:space="preserve">expert judgment</w:t>
            </w:r>
            <w:r>
              <w:t xml:space="preserve">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composite adds value beyond gut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Calibration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is the right</w:t>
            </w:r>
            <w:r>
              <w:t xml:space="preserve"> </w:t>
            </w:r>
            <w:r>
              <w:rPr>
                <w:b/>
                <w:bCs/>
              </w:rPr>
              <w:t xml:space="preserve">observation floor</w:t>
            </w:r>
            <w:r>
              <w:t xml:space="preserve"> </w:t>
            </w:r>
            <w:r>
              <w:t xml:space="preserve">before a calibration claim is trustworthy?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monitor’s band thresholds mean something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DNA-version evolution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 a</w:t>
            </w:r>
            <w:r>
              <w:t xml:space="preserve"> </w:t>
            </w:r>
            <w:r>
              <w:rPr>
                <w:b/>
                <w:bCs/>
              </w:rPr>
              <w:t xml:space="preserve">DNA version change</w:t>
            </w:r>
            <w:r>
              <w:t xml:space="preserve"> </w:t>
            </w:r>
            <w:r>
              <w:t xml:space="preserve">move predicted pWin, observed outcomes, or both?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corpus’s edits change behavior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DNA-version evolution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Does</w:t>
            </w:r>
            <w:r>
              <w:t xml:space="preserve"> </w:t>
            </w:r>
            <w:r>
              <w:rPr>
                <w:b/>
                <w:bCs/>
              </w:rPr>
              <w:t xml:space="preserve">recalibration after observed outcomes</w:t>
            </w:r>
            <w:r>
              <w:t xml:space="preserve"> </w:t>
            </w:r>
            <w:r>
              <w:t xml:space="preserve">actually improve calibration (a before/after of Brier/ECE around a version event)?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learning loop learns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DNA-version evolution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 organizations</w:t>
            </w:r>
            <w:r>
              <w:t xml:space="preserve"> </w:t>
            </w:r>
            <w:r>
              <w:rPr>
                <w:b/>
                <w:bCs/>
              </w:rPr>
              <w:t xml:space="preserve">learn from losses</w:t>
            </w:r>
            <w:r>
              <w:t xml:space="preserve"> </w:t>
            </w:r>
            <w:r>
              <w:t xml:space="preserve">— does a post-loss version adjustment predict improvement?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cosmology loop compounds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much of</w:t>
            </w:r>
            <w:r>
              <w:t xml:space="preserve"> </w:t>
            </w:r>
            <w:r>
              <w:rPr>
                <w:b/>
                <w:bCs/>
              </w:rPr>
              <w:t xml:space="preserve">confidence</w:t>
            </w:r>
            <w:r>
              <w:t xml:space="preserve"> </w:t>
            </w:r>
            <w:r>
              <w:t xml:space="preserve">(predicted pWin) is explained by</w:t>
            </w:r>
            <w:r>
              <w:t xml:space="preserve"> </w:t>
            </w:r>
            <w:r>
              <w:rPr>
                <w:b/>
                <w:bCs/>
              </w:rPr>
              <w:t xml:space="preserve">agent × method × DNA version × opportunity type</w:t>
            </w:r>
            <w:r>
              <w:t xml:space="preserve">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Attribution is measurable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How much of</w:t>
            </w:r>
            <w:r>
              <w:t xml:space="preserve"> </w:t>
            </w:r>
            <w:r>
              <w:rPr>
                <w:b/>
                <w:bCs/>
              </w:rPr>
              <w:t xml:space="preserve">outcome</w:t>
            </w:r>
            <w:r>
              <w:t xml:space="preserve"> </w:t>
            </w:r>
            <w:r>
              <w:t xml:space="preserve">(won/lost) is explained by the same interaction, once confidence is controlled?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Confidence and success are different objects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Attribution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Do the factors that predict wins at one</w:t>
            </w:r>
            <w:r>
              <w:t xml:space="preserve"> </w:t>
            </w:r>
            <w:r>
              <w:rPr>
                <w:b/>
                <w:bCs/>
              </w:rPr>
              <w:t xml:space="preserve">opportunity type</w:t>
            </w:r>
            <w:r>
              <w:t xml:space="preserve"> </w:t>
            </w:r>
            <w:r>
              <w:t xml:space="preserve">(SBIR, set-aside, IDIQ) hold at another?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Factor weights are not universal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Golden thread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does the staged</w:t>
            </w:r>
            <w:r>
              <w:t xml:space="preserve"> </w:t>
            </w:r>
            <w:r>
              <w:rPr>
                <w:b/>
                <w:bCs/>
              </w:rPr>
              <w:t xml:space="preserve">golden-thread verification</w:t>
            </w:r>
            <w:r>
              <w:t xml:space="preserve"> </w:t>
            </w:r>
            <w:r>
              <w:t xml:space="preserve">certify — and what does it not?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pass means the check ran, not the outcome was right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Golden thread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Is the verification</w:t>
            </w:r>
            <w:r>
              <w:t xml:space="preserve"> </w:t>
            </w:r>
            <w:r>
              <w:rPr>
                <w:b/>
                <w:bCs/>
              </w:rPr>
              <w:t xml:space="preserve">reproducible</w:t>
            </w:r>
            <w:r>
              <w:t xml:space="preserve"> </w:t>
            </w:r>
            <w:r>
              <w:t xml:space="preserve">— does a re-run agree with the original run?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replication benchmark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Q15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Golden thread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would a</w:t>
            </w:r>
            <w:r>
              <w:t xml:space="preserve"> </w:t>
            </w:r>
            <w:r>
              <w:rPr>
                <w:i/>
                <w:iCs/>
              </w:rPr>
              <w:t xml:space="preserve">rigorous</w:t>
            </w:r>
            <w:r>
              <w:t xml:space="preserve"> </w:t>
            </w:r>
            <w:r>
              <w:t xml:space="preserve">evaluation of a pursuit pipeline look like — outcome-based stage criteria instead of health checks?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better method exists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3"/>
    <w:bookmarkStart w:id="30" w:name="X1a4d926d2c4c3e6ddca4191bf9a55fafa63c121"/>
    <w:p>
      <w:pPr>
        <w:pStyle w:val="Heading2"/>
      </w:pPr>
      <w:r>
        <w:t xml:space="preserve">The flagship dissertation design (one study, in depth)</w:t>
      </w:r>
    </w:p>
    <w:p>
      <w:pPr>
        <w:pStyle w:val="FirstParagraph"/>
      </w:pPr>
      <w:r>
        <w:t xml:space="preserve">A dissertation normally goes deep on</w:t>
      </w:r>
      <w:r>
        <w:t xml:space="preserve"> </w:t>
      </w:r>
      <w:r>
        <w:rPr>
          <w:b/>
          <w:bCs/>
        </w:rPr>
        <w:t xml:space="preserve">one</w:t>
      </w:r>
      <w:r>
        <w:t xml:space="preserve"> </w:t>
      </w:r>
      <w:r>
        <w:t xml:space="preserve">question. This section designs</w:t>
      </w:r>
      <w:r>
        <w:t xml:space="preserve"> </w:t>
      </w:r>
      <w:r>
        <w:rPr>
          <w:b/>
          <w:bCs/>
        </w:rPr>
        <w:t xml:space="preserve">Q1/Q2/Q3 — the calibration study</w:t>
      </w:r>
      <w:r>
        <w:t xml:space="preserve"> </w:t>
      </w:r>
      <w:r>
        <w:t xml:space="preserve">— the single most important claim the discipline makes, fully designed. Two alternative designs (DNA-version evolution and attribution) follow in compressed form.</w:t>
      </w:r>
    </w:p>
    <w:bookmarkStart w:id="24" w:name="research-question-and-hypotheses"/>
    <w:p>
      <w:pPr>
        <w:pStyle w:val="Heading3"/>
      </w:pPr>
      <w:r>
        <w:t xml:space="preserve">Research question and hypotheses</w:t>
      </w:r>
    </w:p>
    <w:p>
      <w:pPr>
        <w:pStyle w:val="FirstParagraph"/>
      </w:pPr>
      <w:r>
        <w:rPr>
          <w:b/>
          <w:bCs/>
        </w:rPr>
        <w:t xml:space="preserve">RQ:</w:t>
      </w:r>
      <w:r>
        <w:t xml:space="preserve"> </w:t>
      </w:r>
      <w:r>
        <w:rPr>
          <w:i/>
          <w:iCs/>
        </w:rPr>
        <w:t xml:space="preserve">Is the win-probability composite calibrated, and is calibration stable across funder families?</w:t>
      </w:r>
    </w:p>
    <w:p>
      <w:pPr>
        <w:pStyle w:val="BodyText"/>
      </w:pPr>
      <w:r>
        <w:rPr>
          <w:b/>
          <w:bCs/>
        </w:rPr>
        <w:t xml:space="preserve">H1 (calibration):</w:t>
      </w:r>
      <w:r>
        <w:t xml:space="preserve"> </w:t>
      </w:r>
      <w:r>
        <w:t xml:space="preserve">The composite’s reliability diagram is flat — observed win rate equals predicted pWin in every band, within a pre-registered tolerance (ECE below a pre-registered threshold).</w:t>
      </w:r>
      <w:r>
        <w:t xml:space="preserve"> </w:t>
      </w:r>
      <w:r>
        <w:rPr>
          <w:i/>
          <w:iCs/>
        </w:rPr>
        <w:t xml:space="preserve">Falsifiable:</w:t>
      </w:r>
      <w:r>
        <w:t xml:space="preserve"> </w:t>
      </w:r>
      <w:r>
        <w:t xml:space="preserve">the reliability diagram shows systematic over-confidence (low predictions win more than predicted) or under-confidence (high predictions win less).</w:t>
      </w:r>
    </w:p>
    <w:p>
      <w:pPr>
        <w:pStyle w:val="BodyText"/>
      </w:pPr>
      <w:r>
        <w:rPr>
          <w:b/>
          <w:bCs/>
        </w:rPr>
        <w:t xml:space="preserve">H2 (band-specificity):</w:t>
      </w:r>
      <w:r>
        <w:t xml:space="preserve"> </w:t>
      </w:r>
      <w:r>
        <w:t xml:space="preserve">Calibration error is concentrated in the extreme bands (very low and very high predictions), not the middle.</w:t>
      </w:r>
      <w:r>
        <w:t xml:space="preserve"> </w:t>
      </w:r>
      <w:r>
        <w:rPr>
          <w:i/>
          <w:iCs/>
        </w:rPr>
        <w:t xml:space="preserve">Falsifiable:</w:t>
      </w:r>
      <w:r>
        <w:t xml:space="preserve"> </w:t>
      </w:r>
      <w:r>
        <w:t xml:space="preserve">ECE is uniformly distributed across bands.</w:t>
      </w:r>
    </w:p>
    <w:p>
      <w:pPr>
        <w:pStyle w:val="BodyText"/>
      </w:pPr>
      <w:r>
        <w:rPr>
          <w:b/>
          <w:bCs/>
        </w:rPr>
        <w:t xml:space="preserve">H3 (stability):</w:t>
      </w:r>
      <w:r>
        <w:t xml:space="preserve"> </w:t>
      </w:r>
      <w:r>
        <w:t xml:space="preserve">Calibration does not differ materially across funder families (research grants vs. service contracts vs. set-asides).</w:t>
      </w:r>
      <w:r>
        <w:t xml:space="preserve"> </w:t>
      </w:r>
      <w:r>
        <w:rPr>
          <w:i/>
          <w:iCs/>
        </w:rPr>
        <w:t xml:space="preserve">Falsifiable:</w:t>
      </w:r>
      <w:r>
        <w:t xml:space="preserve"> </w:t>
      </w:r>
      <w:r>
        <w:t xml:space="preserve">family-stratified reliability diagrams separate; a family × predicted-pWin interaction is significant.</w:t>
      </w:r>
    </w:p>
    <w:p>
      <w:pPr>
        <w:pStyle w:val="BodyText"/>
      </w:pPr>
      <w:r>
        <w:rPr>
          <w:b/>
          <w:bCs/>
        </w:rPr>
        <w:t xml:space="preserve">H4 (drift):</w:t>
      </w:r>
      <w:r>
        <w:t xml:space="preserve"> </w:t>
      </w:r>
      <w:r>
        <w:t xml:space="preserve">The calibration distribution is stable over the study window (PSI below a pre-registered threshold).</w:t>
      </w:r>
      <w:r>
        <w:t xml:space="preserve"> </w:t>
      </w:r>
      <w:r>
        <w:rPr>
          <w:i/>
          <w:iCs/>
        </w:rPr>
        <w:t xml:space="preserve">Falsifiable:</w:t>
      </w:r>
      <w:r>
        <w:t xml:space="preserve"> </w:t>
      </w:r>
      <w:r>
        <w:t xml:space="preserve">PSI crosses the warn band, indicating drift.</w:t>
      </w:r>
    </w:p>
    <w:bookmarkEnd w:id="24"/>
    <w:bookmarkStart w:id="25" w:name="design-and-measurement"/>
    <w:p>
      <w:pPr>
        <w:pStyle w:val="Heading3"/>
      </w:pPr>
      <w:r>
        <w:t xml:space="preserve">Design and measurement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Design.</w:t>
      </w:r>
      <w:r>
        <w:t xml:space="preserve"> </w:t>
      </w:r>
      <w:r>
        <w:t xml:space="preserve">Observational cohort of</w:t>
      </w:r>
      <w:r>
        <w:t xml:space="preserve"> </w:t>
      </w:r>
      <w:r>
        <w:rPr>
          <w:b/>
          <w:bCs/>
        </w:rPr>
        <w:t xml:space="preserve">pursued opportunities</w:t>
      </w:r>
      <w:r>
        <w:t xml:space="preserve"> </w:t>
      </w:r>
      <w:r>
        <w:t xml:space="preserve">over a defined window (e.g., 24–36 months), drawn from the prediction-and-outcome record. Every opportunity has a</w:t>
      </w:r>
      <w:r>
        <w:t xml:space="preserve"> </w:t>
      </w:r>
      <w:r>
        <w:rPr>
          <w:b/>
          <w:bCs/>
        </w:rPr>
        <w:t xml:space="preserve">predicted pWin at decision time</w:t>
      </w:r>
      <w:r>
        <w:t xml:space="preserve"> </w:t>
      </w:r>
      <w:r>
        <w:t xml:space="preserve">(the exposure) and a</w:t>
      </w:r>
      <w:r>
        <w:t xml:space="preserve"> </w:t>
      </w:r>
      <w:r>
        <w:rPr>
          <w:b/>
          <w:bCs/>
        </w:rPr>
        <w:t xml:space="preserve">terminal outcome</w:t>
      </w:r>
      <w:r>
        <w:t xml:space="preserve"> </w:t>
      </w:r>
      <w:r>
        <w:t xml:space="preserve">(the outcome). The design is not experimental — the discipline’s decisions select the sample — which is why the survivorship hazard is handled explicitly below.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Constructs operationalized.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Predicted pWin:</w:t>
      </w:r>
      <w:r>
        <w:t xml:space="preserve"> </w:t>
      </w:r>
      <w:r>
        <w:t xml:space="preserve">the stored composite value at decision time, 0 to 1, with the</w:t>
      </w:r>
      <w:r>
        <w:t xml:space="preserve"> </w:t>
      </w:r>
      <w:r>
        <w:rPr>
          <w:b/>
          <w:bCs/>
        </w:rPr>
        <w:t xml:space="preserve">DNA version</w:t>
      </w:r>
      <w:r>
        <w:t xml:space="preserve"> </w:t>
      </w:r>
      <w:r>
        <w:t xml:space="preserve">that produced it recorded.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Terminal outcome:</w:t>
      </w:r>
      <w:r>
        <w:t xml:space="preserve"> </w:t>
      </w:r>
      <w:r>
        <w:t xml:space="preserve">won / lost / withdrawn, with</w:t>
      </w:r>
      <w:r>
        <w:t xml:space="preserve"> </w:t>
      </w:r>
      <w:r>
        <w:rPr>
          <w:b/>
          <w:bCs/>
        </w:rPr>
        <w:t xml:space="preserve">won</w:t>
      </w:r>
      <w:r>
        <w:t xml:space="preserve"> </w:t>
      </w:r>
      <w:r>
        <w:t xml:space="preserve">defined by the published award record and</w:t>
      </w:r>
      <w:r>
        <w:t xml:space="preserve"> </w:t>
      </w:r>
      <w:r>
        <w:rPr>
          <w:b/>
          <w:bCs/>
        </w:rPr>
        <w:t xml:space="preserve">withdrawn</w:t>
      </w:r>
      <w:r>
        <w:t xml:space="preserve"> </w:t>
      </w:r>
      <w:r>
        <w:t xml:space="preserve">defined as a non-win under a pre-registered policy.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Funder family:</w:t>
      </w:r>
      <w:r>
        <w:t xml:space="preserve"> </w:t>
      </w:r>
      <w:r>
        <w:t xml:space="preserve">a classification of the solicitation type (research grant, service contract, set-aside, commercial-adjacent), coded from the solicitation.</w:t>
      </w:r>
    </w:p>
    <w:p>
      <w:pPr>
        <w:pStyle w:val="Compact"/>
        <w:numPr>
          <w:ilvl w:val="1"/>
          <w:numId w:val="1003"/>
        </w:numPr>
      </w:pPr>
      <w:r>
        <w:rPr>
          <w:i/>
          <w:iCs/>
        </w:rPr>
        <w:t xml:space="preserve">Opportunity type:</w:t>
      </w:r>
      <w:r>
        <w:t xml:space="preserve"> </w:t>
      </w:r>
      <w:r>
        <w:t xml:space="preserve">the NAICS-style or program-family classification, recorded per opportunity.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Sampling and observation floor.</w:t>
      </w:r>
      <w:r>
        <w:t xml:space="preserve"> </w:t>
      </w:r>
      <w:r>
        <w:t xml:space="preserve">The design pre-registers the</w:t>
      </w:r>
      <w:r>
        <w:t xml:space="preserve"> </w:t>
      </w:r>
      <w:r>
        <w:rPr>
          <w:b/>
          <w:bCs/>
        </w:rPr>
        <w:t xml:space="preserve">observation floor</w:t>
      </w:r>
      <w:r>
        <w:t xml:space="preserve"> </w:t>
      </w:r>
      <w:r>
        <w:t xml:space="preserve">— the minimum number of terminal outcomes (e.g., N ≥ 300 resolved opportunities, with a minimum per funder family) before any calibration claim is trustworthy. The floor is decided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the data are analyzed, not after (the gate discipline applied to research).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Survivorship mitigation.</w:t>
      </w:r>
      <w:r>
        <w:t xml:space="preserve"> </w:t>
      </w:r>
      <w:r>
        <w:t xml:space="preserve">Only pursued bids resolve — the sample is chosen by the decisions under study. The design mitigates with: (1) a stated</w:t>
      </w:r>
      <w:r>
        <w:t xml:space="preserve"> </w:t>
      </w:r>
      <w:r>
        <w:rPr>
          <w:b/>
          <w:bCs/>
        </w:rPr>
        <w:t xml:space="preserve">withdrawn-as-non-win policy</w:t>
      </w:r>
      <w:r>
        <w:t xml:space="preserve">; (2) family stratification so no single population dominates; (3) a bounded claim — the study estimates calibration</w:t>
      </w:r>
      <w:r>
        <w:t xml:space="preserve"> </w:t>
      </w:r>
      <w:r>
        <w:rPr>
          <w:i/>
          <w:iCs/>
        </w:rPr>
        <w:t xml:space="preserve">conditional on pursued bids</w:t>
      </w:r>
      <w:r>
        <w:t xml:space="preserve">, and the dissertation says so plainly; and (4) a sensitivity analysis re-running the statistics with withdrawn excluded and with withdrawn-as-win, to show the conclusion does not rest on the choice.</w:t>
      </w:r>
    </w:p>
    <w:bookmarkEnd w:id="25"/>
    <w:bookmarkStart w:id="26" w:name="data-needs"/>
    <w:p>
      <w:pPr>
        <w:pStyle w:val="Heading3"/>
      </w:pPr>
      <w:r>
        <w:t xml:space="preserve">Data needs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Data element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Source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Regime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Predicted pWin at decision 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prediction-and-outcome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Organizational (ethical)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DNA version per prediction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version lineage (which corpus version produced each estimate)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Organizational (ethical)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Terminal outcome (won / lost / withdrawn)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public award record, joined to each opportunity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Funder family / opportunity type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solicitation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Public + organizational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Agency win-pattern corpus (for the secondary analysis)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discipline’s curated corpora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Organizational (as coding foundation)</w:t>
            </w:r>
          </w:p>
        </w:tc>
      </w:tr>
    </w:tbl>
    <w:p>
      <w:pPr>
        <w:pStyle w:val="BodyText"/>
      </w:pPr>
      <w:r>
        <w:t xml:space="preserve">The data environment has one asymmetry that shapes the whole study: the</w:t>
      </w:r>
      <w:r>
        <w:t xml:space="preserve"> </w:t>
      </w:r>
      <w:r>
        <w:rPr>
          <w:b/>
          <w:bCs/>
        </w:rPr>
        <w:t xml:space="preserve">public record is rich</w:t>
      </w:r>
      <w:r>
        <w:t xml:space="preserve"> </w:t>
      </w:r>
      <w:r>
        <w:t xml:space="preserve">(awards, dollar values, winners, review criteria) and the</w:t>
      </w:r>
      <w:r>
        <w:t xml:space="preserve"> </w:t>
      </w:r>
      <w:r>
        <w:rPr>
          <w:b/>
          <w:bCs/>
        </w:rPr>
        <w:t xml:space="preserve">decision side is hidden</w:t>
      </w:r>
      <w:r>
        <w:t xml:space="preserve"> </w:t>
      </w:r>
      <w:r>
        <w:t xml:space="preserve">(estimates, gates, deliberations). This design deliberately joins the two: the outcome side is public ground truth; the prediction side is ethically gathered organizational data.</w:t>
      </w:r>
    </w:p>
    <w:bookmarkEnd w:id="26"/>
    <w:bookmarkStart w:id="27" w:name="analysis-plan-pre-registered"/>
    <w:p>
      <w:pPr>
        <w:pStyle w:val="Heading3"/>
      </w:pPr>
      <w:r>
        <w:t xml:space="preserve">Analysis plan (pre-registered)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Reliability diagrams</w:t>
      </w:r>
      <w:r>
        <w:t xml:space="preserve"> </w:t>
      </w:r>
      <w:r>
        <w:t xml:space="preserve">for the full sample and each funder family: plot observed win rate against predicted pWin in bands (e.g., 0.1-wide), with the diagonal as the perfectly-calibrated reference.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Headline statistics:</w:t>
      </w:r>
      <w:r>
        <w:t xml:space="preserve"> </w:t>
      </w:r>
      <w:r>
        <w:rPr>
          <w:b/>
          <w:bCs/>
        </w:rPr>
        <w:t xml:space="preserve">Brier score</w:t>
      </w:r>
      <w:r>
        <w:t xml:space="preserve">,</w:t>
      </w:r>
      <w:r>
        <w:t xml:space="preserve"> </w:t>
      </w:r>
      <w:r>
        <w:rPr>
          <w:b/>
          <w:bCs/>
        </w:rPr>
        <w:t xml:space="preserve">log-loss</w:t>
      </w:r>
      <w:r>
        <w:t xml:space="preserve">, and</w:t>
      </w:r>
      <w:r>
        <w:t xml:space="preserve"> </w:t>
      </w:r>
      <w:r>
        <w:rPr>
          <w:b/>
          <w:bCs/>
        </w:rPr>
        <w:t xml:space="preserve">expected calibration error (ECE)</w:t>
      </w:r>
      <w:r>
        <w:t xml:space="preserve">, computed overall and per band.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Stability:</w:t>
      </w:r>
      <w:r>
        <w:t xml:space="preserve"> </w:t>
      </w:r>
      <w:r>
        <w:rPr>
          <w:b/>
          <w:bCs/>
        </w:rPr>
        <w:t xml:space="preserve">population stability index (PSI)</w:t>
      </w:r>
      <w:r>
        <w:t xml:space="preserve"> </w:t>
      </w:r>
      <w:r>
        <w:t xml:space="preserve">comparing the prediction distribution across time-halves; a pre-registered threshold for the</w:t>
      </w:r>
      <w:r>
        <w:t xml:space="preserve"> </w:t>
      </w:r>
      <w:r>
        <w:rPr>
          <w:i/>
          <w:iCs/>
        </w:rPr>
        <w:t xml:space="preserve">watch / warn</w:t>
      </w:r>
      <w:r>
        <w:t xml:space="preserve"> </w:t>
      </w:r>
      <w:r>
        <w:t xml:space="preserve">band.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Drift test (H4):</w:t>
      </w:r>
      <w:r>
        <w:t xml:space="preserve"> </w:t>
      </w:r>
      <w:r>
        <w:t xml:space="preserve">a time-split comparison of ECE with a pre-registered decision rule for</w:t>
      </w:r>
      <w:r>
        <w:t xml:space="preserve"> </w:t>
      </w:r>
      <w:r>
        <w:t xml:space="preserve">“</w:t>
      </w:r>
      <w:r>
        <w:t xml:space="preserve">the composite is drifting.</w:t>
      </w:r>
      <w:r>
        <w:t xml:space="preserve">”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Family comparison (H3):</w:t>
      </w:r>
      <w:r>
        <w:t xml:space="preserve"> </w:t>
      </w:r>
      <w:r>
        <w:t xml:space="preserve">logistic regression of won/lost on predicted pWin with a funder-family interaction; a pre-registered test of whether the interaction improves fit.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Robustness checks (pre-registered):</w:t>
      </w:r>
      <w:r>
        <w:t xml:space="preserve"> </w:t>
      </w:r>
      <w:r>
        <w:t xml:space="preserve">withdrawn excluded vs. counted-as-win; a winsorized extreme-band sensitivity; a random-time-half replication.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Honest reporting:</w:t>
      </w:r>
      <w:r>
        <w:t xml:space="preserve"> </w:t>
      </w:r>
      <w:r>
        <w:t xml:space="preserve">the null results reported, the survivorship caveat stated, and the claims bounded to</w:t>
      </w:r>
      <w:r>
        <w:t xml:space="preserve"> </w:t>
      </w:r>
      <w:r>
        <w:rPr>
          <w:i/>
          <w:iCs/>
        </w:rPr>
        <w:t xml:space="preserve">conditional on pursued bids</w:t>
      </w:r>
      <w:r>
        <w:t xml:space="preserve">.</w:t>
      </w:r>
    </w:p>
    <w:bookmarkEnd w:id="27"/>
    <w:bookmarkStart w:id="28" w:name="ethics-and-human-subjects-care"/>
    <w:p>
      <w:pPr>
        <w:pStyle w:val="Heading3"/>
      </w:pPr>
      <w:r>
        <w:t xml:space="preserve">Ethics and human-subjects care</w:t>
      </w:r>
    </w:p>
    <w:p>
      <w:pPr>
        <w:pStyle w:val="FirstParagraph"/>
      </w:pPr>
      <w:r>
        <w:t xml:space="preserve">The study touches</w:t>
      </w:r>
      <w:r>
        <w:t xml:space="preserve"> </w:t>
      </w:r>
      <w:r>
        <w:rPr>
          <w:b/>
          <w:bCs/>
        </w:rPr>
        <w:t xml:space="preserve">identifiable decision-makers</w:t>
      </w:r>
      <w:r>
        <w:t xml:space="preserve"> </w:t>
      </w:r>
      <w:r>
        <w:t xml:space="preserve">— the people whose estimates, gates, and budgets produced the prediction-and-outcome record — and the ethics plan is graded as seriously as the analysis plan: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IRB review</w:t>
      </w:r>
      <w:r>
        <w:t xml:space="preserve"> </w:t>
      </w:r>
      <w:r>
        <w:t xml:space="preserve">before data collection, per the host institution — the field’s own gate discipline applied to research (doctrine/04).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Informed consent</w:t>
      </w:r>
      <w:r>
        <w:t xml:space="preserve"> </w:t>
      </w:r>
      <w:r>
        <w:t xml:space="preserve">for any organizational data that touches individuals: what is being studied, how confidentiality is protected, and the right to withdraw. Estimates are typically an organizational artifact, but the</w:t>
      </w:r>
      <w:r>
        <w:t xml:space="preserve"> </w:t>
      </w:r>
      <w:r>
        <w:rPr>
          <w:i/>
          <w:iCs/>
        </w:rPr>
        <w:t xml:space="preserve">decision-makers</w:t>
      </w:r>
      <w:r>
        <w:t xml:space="preserve"> </w:t>
      </w:r>
      <w:r>
        <w:t xml:space="preserve">who produced them are people, and the design treats them that way.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Confidentiality and anonymization.</w:t>
      </w:r>
      <w:r>
        <w:t xml:space="preserve"> </w:t>
      </w:r>
      <w:r>
        <w:t xml:space="preserve">The analysis uses opportunity-level records, not named individuals; the dissertation reports aggregated statistics and never identifies a specific person’s estimate. Where the candidate studies their own firm, a clear boundary is drawn between the researcher hat and the practitioner hat.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Provenance discipline</w:t>
      </w:r>
      <w:r>
        <w:t xml:space="preserve"> </w:t>
      </w:r>
      <w:r>
        <w:t xml:space="preserve">for the public side: every award record, solicitation, and coding decision logged, so another researcher can verify the data is what the dissertation says it is.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The non-fabrication standard is absolute.</w:t>
      </w:r>
      <w:r>
        <w:t xml:space="preserve"> </w:t>
      </w:r>
      <w:r>
        <w:t xml:space="preserve">The discipline’s own research corpora model the rule — documented facts and clearly-labeled illustrative material are kept apart, and invented specifics are never attributed to real organizations. A dissertation carries the same discipline.</w:t>
      </w:r>
    </w:p>
    <w:bookmarkEnd w:id="28"/>
    <w:bookmarkStart w:id="29" w:name="what-the-study-can-honestly-claim"/>
    <w:p>
      <w:pPr>
        <w:pStyle w:val="Heading3"/>
      </w:pPr>
      <w:r>
        <w:t xml:space="preserve">What the study can honestly claim</w:t>
      </w:r>
    </w:p>
    <w:p>
      <w:pPr>
        <w:pStyle w:val="FirstParagraph"/>
      </w:pPr>
      <w:r>
        <w:t xml:space="preserve">If H1–H4 hold, the dissertation can claim:</w:t>
      </w:r>
      <w:r>
        <w:t xml:space="preserve"> </w:t>
      </w:r>
      <w:r>
        <w:rPr>
          <w:b/>
          <w:bCs/>
        </w:rPr>
        <w:t xml:space="preserve">the discipline’s central instrument is calibrated, within a stated tolerance, across the funder families and window studied, conditional on pursued bids.</w:t>
      </w:r>
      <w:r>
        <w:t xml:space="preserve"> </w:t>
      </w:r>
      <w:r>
        <w:t xml:space="preserve">If they fail, the dissertation can claim the more valuable finding:</w:t>
      </w:r>
      <w:r>
        <w:t xml:space="preserve"> </w:t>
      </w:r>
      <w:r>
        <w:rPr>
          <w:b/>
          <w:bCs/>
        </w:rPr>
        <w:t xml:space="preserve">the instrument is over-confident in a specific band, or unstable across families — and here is where.</w:t>
      </w:r>
      <w:r>
        <w:t xml:space="preserve"> </w:t>
      </w:r>
      <w:r>
        <w:t xml:space="preserve">Either outcome is a contribution, because the field has almost no published calibration evidence for its most important number. The pre-registered decision rule is what makes both outcomes publishable: the analysis plan says</w:t>
      </w:r>
      <w:r>
        <w:t xml:space="preserve"> </w:t>
      </w:r>
      <w:r>
        <w:rPr>
          <w:i/>
          <w:iCs/>
        </w:rPr>
        <w:t xml:space="preserve">in advance</w:t>
      </w:r>
      <w:r>
        <w:t xml:space="preserve"> </w:t>
      </w:r>
      <w:r>
        <w:t xml:space="preserve">what the data must show, so the findings cannot be post-hoc justified.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3" w:name="two-alternative-designs-compressed"/>
    <w:p>
      <w:pPr>
        <w:pStyle w:val="Heading2"/>
      </w:pPr>
      <w:r>
        <w:t xml:space="preserve">Two alternative designs (compressed)</w:t>
      </w:r>
    </w:p>
    <w:bookmarkStart w:id="31" w:name="design-b-dna-version-evolution-q7q8"/>
    <w:p>
      <w:pPr>
        <w:pStyle w:val="Heading3"/>
      </w:pPr>
      <w:r>
        <w:t xml:space="preserve">Design B — DNA-version evolution (Q7/Q8)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difference-in-differences</w:t>
      </w:r>
      <w:r>
        <w:t xml:space="preserve"> </w:t>
      </w:r>
      <w:r>
        <w:t xml:space="preserve">study around a DNA version event: for opportunities pursued before vs. after a corpus recalibration, compare (a) the distribution of predicted pWin and (b) the calibration quality (Brier/ECE). The identifying assumption — no concurrent market or organizational shock — is argued and stress-tested with a placebo version event and a time-trend control.</w:t>
      </w:r>
      <w:r>
        <w:t xml:space="preserve"> </w:t>
      </w:r>
      <w:r>
        <w:rPr>
          <w:b/>
          <w:bCs/>
        </w:rPr>
        <w:t xml:space="preserve">Contribution:</w:t>
      </w:r>
      <w:r>
        <w:t xml:space="preserve"> </w:t>
      </w:r>
      <w:r>
        <w:t xml:space="preserve">the first evidence on whether the doctrine’s own learning loop improves its estimates, or merely changes them.</w:t>
      </w:r>
    </w:p>
    <w:bookmarkEnd w:id="31"/>
    <w:bookmarkStart w:id="32" w:name="design-c-attribution-q10q11"/>
    <w:p>
      <w:pPr>
        <w:pStyle w:val="Heading3"/>
      </w:pPr>
      <w:r>
        <w:t xml:space="preserve">Design C — Attribution (Q10/Q11)</w:t>
      </w:r>
    </w:p>
    <w:p>
      <w:pPr>
        <w:pStyle w:val="FirstParagraph"/>
      </w:pPr>
      <w:r>
        <w:t xml:space="preserve">A variance-decomposition study: for a sample of pursued opportunities, regress predicted pWin on agent (who ran it), method (structured composite vs. expert judgment vs. hybrid), DNA version, and opportunity type, with interactions; then regress outcome on the same interaction, controlling for predicted pWin.</w:t>
      </w:r>
      <w:r>
        <w:t xml:space="preserve"> </w:t>
      </w:r>
      <w:r>
        <w:rPr>
          <w:b/>
          <w:bCs/>
        </w:rPr>
        <w:t xml:space="preserve">Contribution:</w:t>
      </w:r>
      <w:r>
        <w:t xml:space="preserve"> </w:t>
      </w:r>
      <w:r>
        <w:t xml:space="preserve">the field’s attribution question — how much of confidence and success is explained by each component — answered with variance explained (e.g., ANOVA or a hierarchical model), bounded by the same survivorship and selection caveats. This is the machine-side attribution claim (agent × method × DNA × opportunity type) turned into a testable research question.</w:t>
      </w:r>
    </w:p>
    <w:p>
      <w:r>
        <w:pict>
          <v:rect style="width:0;height:1.5pt" o:hralign="center" o:hrstd="t" o:hr="t"/>
        </w:pict>
      </w:r>
    </w:p>
    <w:bookmarkEnd w:id="32"/>
    <w:bookmarkEnd w:id="33"/>
    <w:bookmarkStart w:id="34" w:name="dissertation-chapter-mapping"/>
    <w:p>
      <w:pPr>
        <w:pStyle w:val="Heading2"/>
      </w:pPr>
      <w:r>
        <w:t xml:space="preserve">Dissertation-chapter mapping</w:t>
      </w:r>
    </w:p>
    <w:p>
      <w:pPr>
        <w:pStyle w:val="FirstParagraph"/>
      </w:pPr>
      <w:r>
        <w:t xml:space="preserve">The dissertation sequence (</w:t>
      </w:r>
      <w:hyperlink r:id="rId21">
        <w:r>
          <w:rPr>
            <w:rStyle w:val="VerbatimChar"/>
          </w:rPr>
          <w:t xml:space="preserve">course/doctoral-dissertation-sequence.md</w:t>
        </w:r>
      </w:hyperlink>
      <w:r>
        <w:t xml:space="preserve">) maps onto the chapters of the final document. The candidate writes to the sequence, not around it: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Dissertation chapter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Content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Dissertation-sequence stage it satisfies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1 · Introduction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research question, the gap, the intended 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Proposal (Stage 1)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2 · Literature review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practice canon (Shipley/APMP claims), the scholarly neighbors (procurement economics, calibration/decision science, organizational learning), the field’s thin empirical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Literature review (Stage 2)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3 · Methodology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frozen design: constructs, sampling, observation floor, ethics plan, pre-registered analysis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Methodology approval (Stage 3)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4 · Data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dataset, its provenance log and codebook, the ethics record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collection (Stage 4)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5 · Results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reliability diagrams, Brier/ECE/PSI, family comparisons, robustness checks — executed as pre-registered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Analysis (Stage 5)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6 · Discussion + 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the findings do and do not mean for the doctrine; the bounded claims; the next study on the research agenda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Defense (Stage 6)</w:t>
            </w:r>
          </w:p>
        </w:tc>
      </w:tr>
    </w:tbl>
    <w:p>
      <w:pPr>
        <w:pStyle w:val="BodyText"/>
      </w:pPr>
      <w:r>
        <w:t xml:space="preserve">The publication pathway follows: the literature review becomes a review article; the empirical core (Chapter 5) becomes the flagship article; a robustness extension (e.g., the cross-agency replication) becomes a second article; and if the candidate designs the golden-thread validity study (Q13–Q15), the methodology contribution becomes a methods paper.</w:t>
      </w:r>
    </w:p>
    <w:p>
      <w:r>
        <w:pict>
          <v:rect style="width:0;height:1.5pt" o:hralign="center" o:hrstd="t" o:hr="t"/>
        </w:pict>
      </w:r>
    </w:p>
    <w:bookmarkEnd w:id="34"/>
    <w:bookmarkStart w:id="35" w:name="grading-rubric-for-the-doctoral-capstone"/>
    <w:p>
      <w:pPr>
        <w:pStyle w:val="Heading2"/>
      </w:pPr>
      <w:r>
        <w:t xml:space="preserve">Grading rubric for the doctoral capstone</w:t>
      </w:r>
    </w:p>
    <w:p>
      <w:pPr>
        <w:pStyle w:val="FirstParagraph"/>
      </w:pPr>
      <w:r>
        <w:t xml:space="preserve">The four-level scale —</w:t>
      </w:r>
      <w:r>
        <w:t xml:space="preserve"> </w:t>
      </w:r>
      <w:r>
        <w:rPr>
          <w:b/>
          <w:bCs/>
        </w:rPr>
        <w:t xml:space="preserve">Not Ready · Developing · Proficient · Distinguished</w:t>
      </w:r>
      <w:r>
        <w:t xml:space="preserve"> </w:t>
      </w:r>
      <w:r>
        <w:t xml:space="preserve">— applied to a research design. At the doctoral tier,</w:t>
      </w:r>
      <w:r>
        <w:t xml:space="preserve"> </w:t>
      </w:r>
      <w:r>
        <w:rPr>
          <w:i/>
          <w:iCs/>
        </w:rPr>
        <w:t xml:space="preserve">Distinguished</w:t>
      </w:r>
      <w:r>
        <w:t xml:space="preserve"> </w:t>
      </w:r>
      <w:r>
        <w:t xml:space="preserve">means the design is not just defensible but</w:t>
      </w:r>
      <w:r>
        <w:t xml:space="preserve"> </w:t>
      </w:r>
      <w:r>
        <w:rPr>
          <w:b/>
          <w:bCs/>
        </w:rPr>
        <w:t xml:space="preserve">publishable</w:t>
      </w:r>
      <w:r>
        <w:t xml:space="preserve">: a committee would send the candidate to collect the data.</w:t>
      </w:r>
    </w:p>
    <w:tbl>
      <w:tblPr>
        <w:tblStyle w:val="Table"/>
        <w:tblW w:type="pct" w:w="5000"/>
        <w:jc w:val="left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Dimension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Ready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Proficient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Distinguished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Vague or unfalsifiable; answers an assertion, not a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Specific, falsifiable, researchable — a committee can see the answer taking shape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question is one the field needs answered, with the closest prior work named and the gap argued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Design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cannot support the claim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Design matches the question; the identifying assumption is stated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identifying assumption is argued and stress-tested; a placebo or robustness check guards it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Feasibility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assumed that the candidate does not have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Data sources named; access and ethics plan realistic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observation floor is pre-registered; a pilot proves the measurement protocol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Measurement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Constructs undefined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Constructs operationalized (pWin, outcome, funder family, DNA version)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Reliability (inter-rater, band resolution) is addressed before the main analysis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Ethics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 ethics plan; human-subjects care absent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IRB, consent, confidentiality, and provenance named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ethics trail is complete and the boundary for studying one’s own firm is drawn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Analysis plan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The data will tell us</w:t>
            </w:r>
            <w:r>
              <w:t xml:space="preserve">”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Pre-registered statistics (Brier, ECE, PSI, reliability diagrams) and robustness checks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The pre-registered decision rule makes a null result as publishable as a positive one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Survivorship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Hazard unnamed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Hazard named and mitigated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Mitigations are bounded in the claim — the dissertation says exactly what it can and cannot conclude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b/>
                <w:bCs/>
              </w:rPr>
              <w:t xml:space="preserve">Contribution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Repeats what practitioners assert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 defensible answer to an open agenda question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Either outcome is a contribution; the next study on the agenda is opened, not closed</w:t>
            </w:r>
          </w:p>
        </w:tc>
      </w:tr>
    </w:tbl>
    <w:p>
      <w:pPr>
        <w:pStyle w:val="BodyText"/>
      </w:pPr>
      <w:r>
        <w:rPr>
          <w:b/>
          <w:bCs/>
        </w:rPr>
        <w:t xml:space="preserve">The doctoral trap being tested:</w:t>
      </w:r>
      <w:r>
        <w:t xml:space="preserve"> </w:t>
      </w:r>
      <w:r>
        <w:t xml:space="preserve">the</w:t>
      </w:r>
      <w:r>
        <w:t xml:space="preserve"> </w:t>
      </w:r>
      <w:r>
        <w:t xml:space="preserve">“</w:t>
      </w:r>
      <w:r>
        <w:t xml:space="preserve">the data will tell us</w:t>
      </w:r>
      <w:r>
        <w:t xml:space="preserve">”</w:t>
      </w:r>
      <w:r>
        <w:t xml:space="preserve"> </w:t>
      </w:r>
      <w:r>
        <w:t xml:space="preserve">plan — an analysis so vague that any finding can be post-hoc justified. A design that pre-registers its decision rule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seeing the data passes the test; a design that leaves itself room to rationalize fails it, whatever the data later say.</w:t>
      </w:r>
    </w:p>
    <w:p>
      <w:r>
        <w:pict>
          <v:rect style="width:0;height:1.5pt" o:hralign="center" o:hrstd="t" o:hr="t"/>
        </w:pict>
      </w:r>
    </w:p>
    <w:bookmarkEnd w:id="35"/>
    <w:bookmarkStart w:id="36" w:name="where-this-maps-to-shipley-dream-dna"/>
    <w:p>
      <w:pPr>
        <w:pStyle w:val="Heading2"/>
      </w:pPr>
      <w:r>
        <w:t xml:space="preserve">Where this maps to Shipley + Dream DNA</w:t>
      </w:r>
    </w:p>
    <w:p>
      <w:pPr>
        <w:pStyle w:val="BlockText"/>
      </w:pPr>
      <w:r>
        <w:rPr>
          <w:b/>
          <w:bCs/>
        </w:rPr>
        <w:t xml:space="preserve">The industry canon.</w:t>
      </w:r>
      <w:r>
        <w:t xml:space="preserve"> </w:t>
      </w:r>
      <w:r>
        <w:t xml:space="preserve">The doctoral capstone sits deliberately outside the Shipley</w:t>
      </w:r>
      <w:r>
        <w:t xml:space="preserve"> </w:t>
      </w:r>
      <w:r>
        <w:rPr>
          <w:i/>
          <w:iCs/>
        </w:rPr>
        <w:t xml:space="preserve">practitioner</w:t>
      </w:r>
      <w:r>
        <w:t xml:space="preserve"> </w:t>
      </w:r>
      <w:r>
        <w:t xml:space="preserve">canon — it studies the canon. The practitioner literature (Shipley, APMP, the proposal-professional bodies) is</w:t>
      </w:r>
      <w:r>
        <w:t xml:space="preserve"> </w:t>
      </w:r>
      <w:r>
        <w:rPr>
          <w:i/>
          <w:iCs/>
        </w:rPr>
        <w:t xml:space="preserve">prescriptive</w:t>
      </w:r>
      <w:r>
        <w:t xml:space="preserve">: capture plans, win themes, color teams, four volumes, price-to-win. Almost none of it is</w:t>
      </w:r>
      <w:r>
        <w:t xml:space="preserve"> </w:t>
      </w:r>
      <w:r>
        <w:rPr>
          <w:i/>
          <w:iCs/>
        </w:rPr>
        <w:t xml:space="preserve">empirical</w:t>
      </w:r>
      <w:r>
        <w:t xml:space="preserve">. The scholarly neighbors — procurement and auction economics, public administration, decision science and judgment/calibration research, organizational learning — supply the methods: reliability diagrams, Brier score, ECE, PSI, logistic regression, difference-in-differences. The dissertation’s literature review (Chapter 2) is precisely the act of mapping what the practitioners claim against what the scholars have measured — and finding the empty space in between that this study fills.</w:t>
      </w:r>
    </w:p>
    <w:p>
      <w:pPr>
        <w:pStyle w:val="BlockText"/>
      </w:pPr>
      <w:r>
        <w:rPr>
          <w:b/>
          <w:bCs/>
        </w:rPr>
        <w:t xml:space="preserve">The Dream DNA.</w:t>
      </w:r>
      <w:r>
        <w:t xml:space="preserve"> </w:t>
      </w:r>
      <w:r>
        <w:t xml:space="preserve">The machine side of the doctrine is not the study’s</w:t>
      </w:r>
      <w:r>
        <w:t xml:space="preserve"> </w:t>
      </w:r>
      <w:r>
        <w:rPr>
          <w:i/>
          <w:iCs/>
        </w:rPr>
        <w:t xml:space="preserve">subject matter</w:t>
      </w:r>
      <w:r>
        <w:t xml:space="preserve"> </w:t>
      </w:r>
      <w:r>
        <w:t xml:space="preserve">in the tool sense — it is the study’s</w:t>
      </w:r>
      <w:r>
        <w:t xml:space="preserve"> </w:t>
      </w:r>
      <w:r>
        <w:rPr>
          <w:i/>
          <w:iCs/>
        </w:rPr>
        <w:t xml:space="preserve">object</w:t>
      </w:r>
      <w:r>
        <w:t xml:space="preserve">, read at concept level. The</w:t>
      </w:r>
      <w:r>
        <w:t xml:space="preserve"> </w:t>
      </w:r>
      <w:r>
        <w:rPr>
          <w:b/>
          <w:bCs/>
        </w:rPr>
        <w:t xml:space="preserve">win-probability composite</w:t>
      </w:r>
      <w:r>
        <w:t xml:space="preserve"> </w:t>
      </w:r>
      <w:r>
        <w:t xml:space="preserve">is the instrument under test; the</w:t>
      </w:r>
      <w:r>
        <w:t xml:space="preserve"> </w:t>
      </w:r>
      <w:r>
        <w:rPr>
          <w:b/>
          <w:bCs/>
        </w:rPr>
        <w:t xml:space="preserve">prediction-and-outcome record</w:t>
      </w:r>
      <w:r>
        <w:t xml:space="preserve"> </w:t>
      </w:r>
      <w:r>
        <w:t xml:space="preserve">is the data; the</w:t>
      </w:r>
      <w:r>
        <w:t xml:space="preserve"> </w:t>
      </w:r>
      <w:r>
        <w:rPr>
          <w:b/>
          <w:bCs/>
        </w:rPr>
        <w:t xml:space="preserve">calibration monitor’s statistics</w:t>
      </w:r>
      <w:r>
        <w:t xml:space="preserve"> </w:t>
      </w:r>
      <w:r>
        <w:t xml:space="preserve">(Brier, ECE, PSI, the monotone remap) are the measurement toolkit; the</w:t>
      </w:r>
      <w:r>
        <w:t xml:space="preserve"> </w:t>
      </w:r>
      <w:r>
        <w:rPr>
          <w:b/>
          <w:bCs/>
        </w:rPr>
        <w:t xml:space="preserve">DNA version lineage</w:t>
      </w:r>
      <w:r>
        <w:t xml:space="preserve"> </w:t>
      </w:r>
      <w:r>
        <w:t xml:space="preserve">is the natural-experiment lever for the evolution family; the</w:t>
      </w:r>
      <w:r>
        <w:t xml:space="preserve"> </w:t>
      </w:r>
      <w:r>
        <w:rPr>
          <w:b/>
          <w:bCs/>
        </w:rPr>
        <w:t xml:space="preserve">agency win-pattern corpora</w:t>
      </w:r>
      <w:r>
        <w:t xml:space="preserve"> </w:t>
      </w:r>
      <w:r>
        <w:t xml:space="preserve">are the coding foundation for a pattern-discrimination replication; and the</w:t>
      </w:r>
      <w:r>
        <w:t xml:space="preserve"> </w:t>
      </w:r>
      <w:r>
        <w:rPr>
          <w:b/>
          <w:bCs/>
        </w:rPr>
        <w:t xml:space="preserve">golden-thread verification</w:t>
      </w:r>
      <w:r>
        <w:t xml:space="preserve"> </w:t>
      </w:r>
      <w:r>
        <w:t xml:space="preserve">is itself a research method — a staged, reproducible pipeline that a doctoral student can study, critique, and improve. The canary company that the machine side runs its golden-thread on is the same Ravonics the human curriculum teaches on — which means the doctoral student’s finding about the calibration engine is a finding about the same doctrine the B.S. student learns and the M.S. student leads.</w:t>
      </w:r>
      <w:r>
        <w:t xml:space="preserve"> </w:t>
      </w:r>
      <w:r>
        <w:rPr>
          <w:b/>
          <w:bCs/>
        </w:rPr>
        <w:t xml:space="preserve">Test the doctrine so the doctrine can be trusted</w:t>
      </w:r>
      <w:r>
        <w:t xml:space="preserve"> </w:t>
      </w:r>
      <w:r>
        <w:t xml:space="preserve">— that is the doctoral contribution, and it is what this capstone designs.</w:t>
      </w:r>
    </w:p>
    <w:p>
      <w:r>
        <w:pict>
          <v:rect style="width:0;height:1.5pt" o:hralign="center" o:hrstd="t" o:hr="t"/>
        </w:pict>
      </w:r>
    </w:p>
    <w:bookmarkEnd w:id="36"/>
    <w:bookmarkStart w:id="37" w:name="the-capstone-in-one-sentence"/>
    <w:p>
      <w:pPr>
        <w:pStyle w:val="Heading2"/>
      </w:pPr>
      <w:r>
        <w:t xml:space="preserve">The capstone in one sentence</w:t>
      </w:r>
    </w:p>
    <w:p>
      <w:pPr>
        <w:pStyle w:val="FirstParagraph"/>
      </w:pPr>
      <w:r>
        <w:rPr>
          <w:b/>
          <w:bCs/>
        </w:rPr>
        <w:t xml:space="preserve">The discipline’s most important number — probability of win — has almost no published calibration evidence, and this capstone designs the study that produces it: a pre-registered, ethically-grounded, survivorship-aware test of whether a 0.7 means roughly 70%, with the DNA version and the funder family recorded so the answer is a contribution whether the estimate is honest or not.</w:t>
      </w:r>
    </w:p>
    <w:bookmarkEnd w:id="37"/>
    <w:bookmarkEnd w:id="3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ettings" Target="settings.xml"/><Relationship Id="rId21" Type="http://schemas.openxmlformats.org/officeDocument/2006/relationships/hyperlink" Target="../../course/doctoral-dissertation-sequence.md" TargetMode="External"/><Relationship Id="rId7" Type="http://schemas.openxmlformats.org/officeDocument/2006/relationships/footnotes" Target="footnotes.xml"/><Relationship Id="rId2" Type="http://schemas.openxmlformats.org/officeDocument/2006/relationships/styles" Target="styles.xml"/><Relationship Id="rId20" Type="http://schemas.openxmlformats.org/officeDocument/2006/relationships/hyperlink" Target="../../course/doctoral-program-overview.md" TargetMode="Externa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24" Type="http://schemas.openxmlformats.org/officeDocument/2006/relationships/customXml" Target="../customXml/item3.xml"/><Relationship Id="rId5" Type="http://schemas.openxmlformats.org/officeDocument/2006/relationships/fontTable" Target="fontTable.xml"/><Relationship Id="rId23" Type="http://schemas.openxmlformats.org/officeDocument/2006/relationships/customXml" Target="../customXml/item2.xml"/><Relationship Id="rId4" Type="http://schemas.openxmlformats.org/officeDocument/2006/relationships/webSettings" Target="webSettings.xml"/><Relationship Id="rId22" Type="http://schemas.openxmlformats.org/officeDocument/2006/relationships/customXml" Target="../customXml/item1.xml"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course/doctoral-dissertation-sequence.md" TargetMode="External" /><Relationship Type="http://schemas.openxmlformats.org/officeDocument/2006/relationships/hyperlink" Id="rId20" Target="../../course/doctoral-program-overview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8F89D4DBC9164EAAD077F6A65CDF0A" ma:contentTypeVersion="27" ma:contentTypeDescription="Create a new document." ma:contentTypeScope="" ma:versionID="7fef060ed95bf7b4c871fb5590ffba56">
  <xsd:schema xmlns:xsd="http://www.w3.org/2001/XMLSchema" xmlns:xs="http://www.w3.org/2001/XMLSchema" xmlns:p="http://schemas.microsoft.com/office/2006/metadata/properties" xmlns:ns2="8776939f-5711-4b7e-8619-ef1d6035b8e5" xmlns:ns3="94a181e0-1203-41b9-8ae0-2dcd1a719fc0" targetNamespace="http://schemas.microsoft.com/office/2006/metadata/properties" ma:root="true" ma:fieldsID="1ac12e87290b2432eb1ed38730e28d76" ns2:_="" ns3:_="">
    <xsd:import namespace="8776939f-5711-4b7e-8619-ef1d6035b8e5"/>
    <xsd:import namespace="94a181e0-1203-41b9-8ae0-2dcd1a719f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ynoy" minOccurs="0"/>
                <xsd:element ref="ns2:bb08d3d8-654e-405a-bd2f-eb04bd0c1711CountryOrRegion" minOccurs="0"/>
                <xsd:element ref="ns2:bb08d3d8-654e-405a-bd2f-eb04bd0c1711State" minOccurs="0"/>
                <xsd:element ref="ns2:bb08d3d8-654e-405a-bd2f-eb04bd0c1711City" minOccurs="0"/>
                <xsd:element ref="ns2:bb08d3d8-654e-405a-bd2f-eb04bd0c1711PostalCode" minOccurs="0"/>
                <xsd:element ref="ns2:bb08d3d8-654e-405a-bd2f-eb04bd0c1711Street" minOccurs="0"/>
                <xsd:element ref="ns2:bb08d3d8-654e-405a-bd2f-eb04bd0c1711GeoLoc" minOccurs="0"/>
                <xsd:element ref="ns2:bb08d3d8-654e-405a-bd2f-eb04bd0c1711DispNam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Budge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6939f-5711-4b7e-8619-ef1d6035b8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ynoy" ma:index="19" nillable="true" ma:displayName="Location" ma:internalName="ynoy">
      <xsd:simpleType>
        <xsd:restriction base="dms:Unknown"/>
      </xsd:simpleType>
    </xsd:element>
    <xsd:element name="bb08d3d8-654e-405a-bd2f-eb04bd0c1711CountryOrRegion" ma:index="20" nillable="true" ma:displayName="Location: Country/Region" ma:internalName="CountryOrRegion" ma:readOnly="true">
      <xsd:simpleType>
        <xsd:restriction base="dms:Text"/>
      </xsd:simpleType>
    </xsd:element>
    <xsd:element name="bb08d3d8-654e-405a-bd2f-eb04bd0c1711State" ma:index="21" nillable="true" ma:displayName="Location: State" ma:internalName="State" ma:readOnly="true">
      <xsd:simpleType>
        <xsd:restriction base="dms:Text"/>
      </xsd:simpleType>
    </xsd:element>
    <xsd:element name="bb08d3d8-654e-405a-bd2f-eb04bd0c1711City" ma:index="22" nillable="true" ma:displayName="Location: City" ma:internalName="City" ma:readOnly="true">
      <xsd:simpleType>
        <xsd:restriction base="dms:Text"/>
      </xsd:simpleType>
    </xsd:element>
    <xsd:element name="bb08d3d8-654e-405a-bd2f-eb04bd0c1711PostalCode" ma:index="23" nillable="true" ma:displayName="Location: Postal Code" ma:internalName="PostalCode" ma:readOnly="true">
      <xsd:simpleType>
        <xsd:restriction base="dms:Text"/>
      </xsd:simpleType>
    </xsd:element>
    <xsd:element name="bb08d3d8-654e-405a-bd2f-eb04bd0c1711Street" ma:index="24" nillable="true" ma:displayName="Location: Street" ma:internalName="Street" ma:readOnly="true">
      <xsd:simpleType>
        <xsd:restriction base="dms:Text"/>
      </xsd:simpleType>
    </xsd:element>
    <xsd:element name="bb08d3d8-654e-405a-bd2f-eb04bd0c1711GeoLoc" ma:index="25" nillable="true" ma:displayName="Location: Coordinates" ma:internalName="GeoLoc" ma:readOnly="true">
      <xsd:simpleType>
        <xsd:restriction base="dms:Unknown"/>
      </xsd:simpleType>
    </xsd:element>
    <xsd:element name="bb08d3d8-654e-405a-bd2f-eb04bd0c1711DispName" ma:index="26" nillable="true" ma:displayName="Location: Name" ma:internalName="DispName" ma:readOnly="true">
      <xsd:simpleType>
        <xsd:restriction base="dms:Text"/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52472cf3-6fa7-482d-9f4f-6fbad5979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Budget" ma:index="33" nillable="true" ma:displayName="Budget" ma:format="Dropdown" ma:internalName="Budge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a181e0-1203-41b9-8ae0-2dcd1a719fc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6bd40d36-168b-49d0-9c35-89ec5f868836}" ma:internalName="TaxCatchAll" ma:showField="CatchAllData" ma:web="94a181e0-1203-41b9-8ae0-2dcd1a719f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noy xmlns="8776939f-5711-4b7e-8619-ef1d6035b8e5" xsi:nil="true"/>
    <Budget xmlns="8776939f-5711-4b7e-8619-ef1d6035b8e5" xsi:nil="true"/>
    <lcf76f155ced4ddcb4097134ff3c332f xmlns="8776939f-5711-4b7e-8619-ef1d6035b8e5">
      <Terms xmlns="http://schemas.microsoft.com/office/infopath/2007/PartnerControls"/>
    </lcf76f155ced4ddcb4097134ff3c332f>
    <TaxCatchAll xmlns="94a181e0-1203-41b9-8ae0-2dcd1a719fc0" xsi:nil="true"/>
  </documentManagement>
</p:properties>
</file>

<file path=customXml/itemProps1.xml><?xml version="1.0" encoding="utf-8"?>
<ds:datastoreItem xmlns:ds="http://schemas.openxmlformats.org/officeDocument/2006/customXml" ds:itemID="{2BEF0A69-E0C4-4295-8D67-74BC5C7EFD56}"/>
</file>

<file path=customXml/itemProps2.xml><?xml version="1.0" encoding="utf-8"?>
<ds:datastoreItem xmlns:ds="http://schemas.openxmlformats.org/officeDocument/2006/customXml" ds:itemID="{195B9016-A003-4290-B1EF-8CF00904E9E1}"/>
</file>

<file path=customXml/itemProps3.xml><?xml version="1.0" encoding="utf-8"?>
<ds:datastoreItem xmlns:ds="http://schemas.openxmlformats.org/officeDocument/2006/customXml" ds:itemID="{488C7E3A-F357-4A23-AA80-6AD178682609}"/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2026-08-05T15:37:51Z</dcterms:created>
  <dcterms:modified xsi:type="dcterms:W3CDTF">2026-08-05T15:37:51Z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0x010100D88F89D4DBC9164EAAD077F6A65CDF0A</vt:lpwstr>
  </property>
</Properties>
</file>