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2" w:name="Xcd881d0a45ce6be180d9bde878a050c324a7601"/>
    <w:p>
      <w:pPr>
        <w:pStyle w:val="Heading1"/>
      </w:pPr>
      <w:r>
        <w:t xml:space="preserve">Capstone Projects — Sample Program &amp; Assessment Framework</w:t>
      </w:r>
    </w:p>
    <w:p>
      <w:pPr>
        <w:pStyle w:val="FirstParagraph"/>
      </w:pPr>
      <w:r>
        <w:rPr>
          <w:i/>
          <w:iCs/>
        </w:rPr>
        <w:t xml:space="preserve">The capstone is where the doctrine stops being read and becomes done. It is the final assessment of every tier — the moment a learner takes a real pursuit, runs it through the pipeline, and defends the result before people who are paid to be skeptical. This folder is the sample program: how to run a capstone, how to grade it, and a worked sample capstone for every rung of the ladder.</w:t>
      </w:r>
    </w:p>
    <w:p>
      <w:pPr>
        <w:pStyle w:val="BlockText"/>
      </w:pPr>
      <w:r>
        <w:rPr>
          <w:b/>
          <w:bCs/>
        </w:rPr>
        <w:t xml:space="preserve">What this folder is, and is not.</w:t>
      </w:r>
      <w:r>
        <w:t xml:space="preserve"> </w:t>
      </w:r>
      <w:r>
        <w:t xml:space="preserve">The assignment briefs for the degree tiers live in</w:t>
      </w:r>
      <w:r>
        <w:t xml:space="preserve"> </w:t>
      </w:r>
      <w:hyperlink r:id="rId20">
        <w:r>
          <w:rPr>
            <w:rStyle w:val="VerbatimChar"/>
          </w:rPr>
          <w:t xml:space="preserve">course/</w:t>
        </w:r>
      </w:hyperlink>
      <w:r>
        <w:t xml:space="preserve">: the shared capstone (</w:t>
      </w:r>
      <w:hyperlink r:id="rId21">
        <w:r>
          <w:rPr>
            <w:rStyle w:val="VerbatimChar"/>
          </w:rPr>
          <w:t xml:space="preserve">course/capstone-build-an-orbital.md</w:t>
        </w:r>
      </w:hyperlink>
      <w:r>
        <w:t xml:space="preserve">), the undergraduate extension (</w:t>
      </w:r>
      <w:hyperlink r:id="rId22">
        <w:r>
          <w:rPr>
            <w:rStyle w:val="VerbatimChar"/>
          </w:rPr>
          <w:t xml:space="preserve">course/undergraduate-480-capstone-build-an-orbital.md</w:t>
        </w:r>
      </w:hyperlink>
      <w:r>
        <w:t xml:space="preserve">), the graduate culminating experience (GC 690 / GC 690T,</w:t>
      </w:r>
      <w:r>
        <w:t xml:space="preserve"> </w:t>
      </w:r>
      <w:hyperlink r:id="rId23">
        <w:r>
          <w:rPr>
            <w:rStyle w:val="VerbatimChar"/>
          </w:rPr>
          <w:t xml:space="preserve">course/graduate-program-overview.md</w:t>
        </w:r>
      </w:hyperlink>
      <w:r>
        <w:t xml:space="preserve">), and the doctoral dissertation sequence (DL 903 / DL 990,</w:t>
      </w:r>
      <w:r>
        <w:t xml:space="preserve"> </w:t>
      </w:r>
      <w:hyperlink r:id="rId24">
        <w:r>
          <w:rPr>
            <w:rStyle w:val="VerbatimChar"/>
          </w:rPr>
          <w:t xml:space="preserve">course/doctoral-program-overview.md</w:t>
        </w:r>
      </w:hyperlink>
      <w:r>
        <w:t xml:space="preserve">). The files in</w:t>
      </w:r>
      <w:r>
        <w:t xml:space="preserve"> </w:t>
      </w:r>
      <w:r>
        <w:rPr>
          <w:i/>
          <w:iCs/>
        </w:rPr>
        <w:t xml:space="preserve">this</w:t>
      </w:r>
      <w:r>
        <w:t xml:space="preserve"> </w:t>
      </w:r>
      <w:r>
        <w:t xml:space="preserve">folder are</w:t>
      </w:r>
      <w:r>
        <w:t xml:space="preserve"> </w:t>
      </w:r>
      <w:r>
        <w:rPr>
          <w:b/>
          <w:bCs/>
        </w:rPr>
        <w:t xml:space="preserve">sample projects</w:t>
      </w:r>
      <w:r>
        <w:t xml:space="preserve"> </w:t>
      </w:r>
      <w:r>
        <w:t xml:space="preserve">— complete, worked model answers and program-level guidance — so students can see the shape of excellence and instructors can see how to run and grade a capstone program across all three tiers. Read the brief and the sample together: the brief says what to do, the sample shows what done looks like.</w:t>
      </w:r>
    </w:p>
    <w:p>
      <w:r>
        <w:pict>
          <v:rect style="width:0;height:1.5pt" o:hralign="center" o:hrstd="t" o:hr="t"/>
        </w:pict>
      </w:r>
    </w:p>
    <w:bookmarkStart w:id="29" w:name="the-five-capstones-at-a-glance"/>
    <w:p>
      <w:pPr>
        <w:pStyle w:val="Heading2"/>
      </w:pPr>
      <w:r>
        <w:t xml:space="preserve">The five capstones, at a glance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File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sample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proves</w:t>
            </w:r>
          </w:p>
        </w:tc>
      </w:tr>
      <w:tr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VerbatimChar"/>
                </w:rPr>
                <w:t xml:space="preserve">undergraduate-pursuit-capstone.md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B.S.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From NOFO to Submission-Ready Pursuit</w:t>
            </w:r>
            <w:r>
              <w:t xml:space="preserve"> </w:t>
            </w:r>
            <w:r>
              <w:t xml:space="preserve">— a small HUBZone firm runs a fictional federal services recompete through the full pipeline in 14 weeks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graduate of the B.S. can read a solicitation, score a pursuit, build an ORBITAL, write a capture plan, and submit a compliant package — end to end</w:t>
            </w:r>
          </w:p>
        </w:tc>
      </w:tr>
      <w:tr>
        <w:tc>
          <w:tcPr/>
          <w:p>
            <w:pPr>
              <w:pStyle w:val="Compact"/>
              <w:jc w:val="left"/>
            </w:pPr>
            <w:hyperlink r:id="rId26">
              <w:r>
                <w:rPr>
                  <w:rStyle w:val="VerbatimChar"/>
                </w:rPr>
                <w:t xml:space="preserve">graduate-capture-capstone.md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M.S.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Capture Management Engagement, $10–50M</w:t>
            </w:r>
            <w:r>
              <w:t xml:space="preserve"> </w:t>
            </w:r>
            <w:r>
              <w:t xml:space="preserve">— a mid-size firm’s capture manager runs a large, multi-prime IDIQ competition, including teaming, price-to-win, discriminators, color teams, and final-proposal-revision strategy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graduate of the M.S. can</w:t>
            </w:r>
            <w:r>
              <w:t xml:space="preserve"> </w:t>
            </w:r>
            <w:r>
              <w:rPr>
                <w:i/>
                <w:iCs/>
              </w:rPr>
              <w:t xml:space="preserve">lead</w:t>
            </w:r>
            <w:r>
              <w:t xml:space="preserve"> </w:t>
            </w:r>
            <w:r>
              <w:t xml:space="preserve">a pursuit: structure the business, defend the price, govern the production, and steer the final competitive move</w:t>
            </w:r>
          </w:p>
        </w:tc>
      </w:tr>
      <w:tr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VerbatimChar"/>
                </w:rPr>
                <w:t xml:space="preserve">doctoral-research-capstone.md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Ph.D.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Empirical Study of the Calibration Engine &amp; the Golden Thread</w:t>
            </w:r>
            <w:r>
              <w:t xml:space="preserve"> </w:t>
            </w:r>
            <w:r>
              <w:t xml:space="preserve">— a research design testing the discipline’s own machinery: is the win-probability estimate honest? Does the doctrine learn?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graduate of the doctorate can turn a practitioner claim into a falsifiable research question, design the study, gather the data ethically, and publish the answer</w:t>
            </w:r>
          </w:p>
        </w:tc>
      </w:tr>
      <w:tr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VerbatimChar"/>
                </w:rPr>
                <w:t xml:space="preserve">portfolio-capstone.md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All tiers / lifetime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Lifetime Portfolio Arc</w:t>
            </w:r>
            <w:r>
              <w:t xml:space="preserve"> </w:t>
            </w:r>
            <w:r>
              <w:t xml:space="preserve">— one continuous 20+ year arc tying the three tiers together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learner can see their own career as a single pursuit — a Dream that becomes a World — and can steward the discipline</w:t>
            </w:r>
          </w:p>
        </w:tc>
      </w:tr>
    </w:tbl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README</w:t>
      </w:r>
      <w:r>
        <w:t xml:space="preserve"> </w:t>
      </w:r>
      <w:r>
        <w:t xml:space="preserve">you are reading now is the fifth piece: the</w:t>
      </w:r>
      <w:r>
        <w:t xml:space="preserve"> </w:t>
      </w:r>
      <w:r>
        <w:rPr>
          <w:b/>
          <w:bCs/>
        </w:rPr>
        <w:t xml:space="preserve">how to run a capstone program</w:t>
      </w:r>
      <w:r>
        <w:t xml:space="preserve"> </w:t>
      </w:r>
      <w:r>
        <w:t xml:space="preserve">guide and the</w:t>
      </w:r>
      <w:r>
        <w:t xml:space="preserve"> </w:t>
      </w:r>
      <w:r>
        <w:rPr>
          <w:b/>
          <w:bCs/>
        </w:rPr>
        <w:t xml:space="preserve">common assessment rubric</w:t>
      </w:r>
      <w:r>
        <w:t xml:space="preserve"> </w:t>
      </w:r>
      <w:r>
        <w:t xml:space="preserve">that every tier shares.</w:t>
      </w:r>
    </w:p>
    <w:p>
      <w:r>
        <w:pict>
          <v:rect style="width:0;height:1.5pt" o:hralign="center" o:hrstd="t" o:hr="t"/>
        </w:pict>
      </w:r>
    </w:p>
    <w:bookmarkEnd w:id="29"/>
    <w:bookmarkStart w:id="35" w:name="how-to-run-a-capstone-program"/>
    <w:p>
      <w:pPr>
        <w:pStyle w:val="Heading2"/>
      </w:pPr>
      <w:r>
        <w:t xml:space="preserve">How to run a capstone program</w:t>
      </w:r>
    </w:p>
    <w:p>
      <w:pPr>
        <w:pStyle w:val="FirstParagraph"/>
      </w:pPr>
      <w:r>
        <w:t xml:space="preserve">A capstone is a program, not an assignment. It needs a calendar, a rulebook, a review mechanism, and a defense. The doctrine’s own governance discipline supplies the shape:</w:t>
      </w:r>
      <w:r>
        <w:t xml:space="preserve"> </w:t>
      </w:r>
      <w:r>
        <w:rPr>
          <w:b/>
          <w:bCs/>
        </w:rPr>
        <w:t xml:space="preserve">criteria written before the work begins</w:t>
      </w:r>
      <w:r>
        <w:t xml:space="preserve"> </w:t>
      </w:r>
      <w:r>
        <w:t xml:space="preserve">(doctrine/04).</w:t>
      </w:r>
    </w:p>
    <w:bookmarkStart w:id="30" w:name="Xc08605261c5e8dbf015d18a8a239aa4c6badda3"/>
    <w:p>
      <w:pPr>
        <w:pStyle w:val="Heading3"/>
      </w:pPr>
      <w:r>
        <w:t xml:space="preserve">The five rules that make a capstone honest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Real documents, safe exercises.</w:t>
      </w:r>
      <w:r>
        <w:t xml:space="preserve"> </w:t>
      </w:r>
      <w:r>
        <w:t xml:space="preserve">Every capstone is built on a</w:t>
      </w:r>
      <w:r>
        <w:t xml:space="preserve"> </w:t>
      </w:r>
      <w:r>
        <w:rPr>
          <w:b/>
          <w:bCs/>
        </w:rPr>
        <w:t xml:space="preserve">real, published, closed</w:t>
      </w:r>
      <w:r>
        <w:t xml:space="preserve"> </w:t>
      </w:r>
      <w:r>
        <w:t xml:space="preserve">solicitation — never a live one. Nothing a student produces may bear on an active competition. The sample projects in this folder use</w:t>
      </w:r>
      <w:r>
        <w:t xml:space="preserve"> </w:t>
      </w:r>
      <w:r>
        <w:rPr>
          <w:i/>
          <w:iCs/>
        </w:rPr>
        <w:t xml:space="preserve">fictional</w:t>
      </w:r>
      <w:r>
        <w:t xml:space="preserve"> </w:t>
      </w:r>
      <w:r>
        <w:t xml:space="preserve">agencies and requirements precisely so they can be worked in a classroom without any risk of touching the real market; a student’s own capstone should use a real closed solicitation (SAM.gov, Grants.gov, or the SBIR/STTR portals) unless the instructor explicitly chooses the fictional sample as the teaching object.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rubric is public.</w:t>
      </w:r>
      <w:r>
        <w:t xml:space="preserve"> </w:t>
      </w:r>
      <w:r>
        <w:t xml:space="preserve">The 4-level scale below is published before the first class. Students see exactly how their work is judged before they do it — the doctrine’s gate discipline applied to grading.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defense is real.</w:t>
      </w:r>
      <w:r>
        <w:t xml:space="preserve"> </w:t>
      </w:r>
      <w:r>
        <w:t xml:space="preserve">Every tier ends in a</w:t>
      </w:r>
      <w:r>
        <w:t xml:space="preserve"> </w:t>
      </w:r>
      <w:r>
        <w:rPr>
          <w:b/>
          <w:bCs/>
        </w:rPr>
        <w:t xml:space="preserve">defense before a skeptical panel</w:t>
      </w:r>
      <w:r>
        <w:t xml:space="preserve"> </w:t>
      </w:r>
      <w:r>
        <w:t xml:space="preserve">— instructor, practitioners, and (where possible) an outside reader. The defense is where the doctrine is tested under questioning, and where a student who knows the words but not the discipline is separated from one who can do the work.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Criteria before the call.</w:t>
      </w:r>
      <w:r>
        <w:t xml:space="preserve"> </w:t>
      </w:r>
      <w:r>
        <w:t xml:space="preserve">Where a capstone asks for a bid/no-bid call, a price, or a research claim, the criteria for the call are written</w:t>
      </w:r>
      <w:r>
        <w:t xml:space="preserve"> </w:t>
      </w:r>
      <w:r>
        <w:rPr>
          <w:b/>
          <w:bCs/>
        </w:rPr>
        <w:t xml:space="preserve">in advance</w:t>
      </w:r>
      <w:r>
        <w:t xml:space="preserve"> </w:t>
      </w:r>
      <w:r>
        <w:t xml:space="preserve">and graded before the answer is known. A gate charter graded in Week 3, judged against the call made in Week 12, is the whole discipline in miniature.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Integrity is a skill, not a rule.</w:t>
      </w:r>
      <w:r>
        <w:t xml:space="preserve"> </w:t>
      </w:r>
      <w:r>
        <w:t xml:space="preserve">No fabricated evidence, no invented awards, no misstated past performance. The post-mortem is graded on honest comparison, not on being right. A capstone that fabricates fails the assessment outright — the same standard the federal market enforces on everyone who touches it.</w:t>
      </w:r>
    </w:p>
    <w:bookmarkEnd w:id="30"/>
    <w:bookmarkStart w:id="31" w:name="the-stack-agnostic-pledge"/>
    <w:p>
      <w:pPr>
        <w:pStyle w:val="Heading3"/>
      </w:pPr>
      <w:r>
        <w:t xml:space="preserve">The stack-agnostic pledge</w:t>
      </w:r>
    </w:p>
    <w:p>
      <w:pPr>
        <w:pStyle w:val="FirstParagraph"/>
      </w:pPr>
      <w:r>
        <w:t xml:space="preserve">Every capstone at every tier obeys doctrine/08:</w:t>
      </w:r>
      <w:r>
        <w:t xml:space="preserve"> </w:t>
      </w:r>
      <w:r>
        <w:rPr>
          <w:b/>
          <w:bCs/>
        </w:rPr>
        <w:t xml:space="preserve">concepts are durable, tools are swappable.</w:t>
      </w:r>
      <w:r>
        <w:t xml:space="preserve"> </w:t>
      </w:r>
      <w:r>
        <w:t xml:space="preserve">Students may use paper, a whiteboard, a spreadsheet, or any word processor. A deliverable may</w:t>
      </w:r>
      <w:r>
        <w:t xml:space="preserve"> </w:t>
      </w:r>
      <w:r>
        <w:rPr>
          <w:i/>
          <w:iCs/>
        </w:rPr>
        <w:t xml:space="preserve">never</w:t>
      </w:r>
      <w:r>
        <w:t xml:space="preserve"> </w:t>
      </w:r>
      <w:r>
        <w:t xml:space="preserve">depend on a specific product or system, and no capstone requires knowledge of any particular software. When a sample project mentions a tool of any kind — a scoring sheet, a compliance tracker, a review log, a data store — it means</w:t>
      </w:r>
      <w:r>
        <w:t xml:space="preserve"> </w:t>
      </w:r>
      <w:r>
        <w:rPr>
          <w:i/>
          <w:iCs/>
        </w:rPr>
        <w:t xml:space="preserve">your organization’s tooling</w:t>
      </w:r>
      <w:r>
        <w:t xml:space="preserve">, whatever that is, and the concept is what is being tested. If a capstone deliverable would break because a vendor changed its product, the deliverable is testing the wrong thing.</w:t>
      </w:r>
    </w:p>
    <w:bookmarkEnd w:id="31"/>
    <w:bookmarkStart w:id="32" w:name="program-formats-that-work"/>
    <w:p>
      <w:pPr>
        <w:pStyle w:val="Heading3"/>
      </w:pPr>
      <w:r>
        <w:t xml:space="preserve">Program formats that work</w:t>
      </w:r>
    </w:p>
    <w:p>
      <w:pPr>
        <w:pStyle w:val="FirstParagraph"/>
      </w:pPr>
      <w:r>
        <w:t xml:space="preserve">The same five capstones run at different cadences. Match the format to the learner: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Format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14-week semester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milestone per week, defense in Week 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Degree-track students (B.S., M.S.)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default; the undergraduate and graduate samples are built on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Compressed bootcamp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4–6 weeks, two milestones per 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Fellowship cohorts, continuing-education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Cuts the drafting weeks, keeps the gates and the defense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Thesis / dissertation arc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6–24 months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M.S. thesis, doctoral dissertation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doctoral sample is built for this; the research design</w:t>
            </w:r>
            <w:r>
              <w:t xml:space="preserve"> </w:t>
            </w:r>
            <w:r>
              <w:rPr>
                <w:i/>
                <w:iCs/>
              </w:rPr>
              <w:t xml:space="preserve">is</w:t>
            </w:r>
            <w:r>
              <w:t xml:space="preserve"> </w:t>
            </w:r>
            <w:r>
              <w:t xml:space="preserve">the milestone sequence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Lifetime portfolio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Years, revisited at each 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Practitioners and alumni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portfolio sample; the arc is the capstone</w:t>
            </w:r>
          </w:p>
        </w:tc>
      </w:tr>
    </w:tbl>
    <w:bookmarkEnd w:id="32"/>
    <w:bookmarkStart w:id="33" w:name="teams-vs.-individuals"/>
    <w:p>
      <w:pPr>
        <w:pStyle w:val="Heading3"/>
      </w:pPr>
      <w:r>
        <w:t xml:space="preserve">Teams vs. individuals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Undergraduate:</w:t>
      </w:r>
      <w:r>
        <w:t xml:space="preserve"> </w:t>
      </w:r>
      <w:r>
        <w:t xml:space="preserve">teams of 3–4, each member owning at least one deliverable; the defense is individual.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Graduate:</w:t>
      </w:r>
      <w:r>
        <w:t xml:space="preserve"> </w:t>
      </w:r>
      <w:r>
        <w:t xml:space="preserve">individual or small team, with a named capture lead who</w:t>
      </w:r>
      <w:r>
        <w:t xml:space="preserve"> </w:t>
      </w:r>
      <w:r>
        <w:rPr>
          <w:i/>
          <w:iCs/>
        </w:rPr>
        <w:t xml:space="preserve">owns the whole pursuit</w:t>
      </w:r>
      <w:r>
        <w:t xml:space="preserve">; the defense is individual.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Doctoral:</w:t>
      </w:r>
      <w:r>
        <w:t xml:space="preserve"> </w:t>
      </w:r>
      <w:r>
        <w:t xml:space="preserve">individual by definition — a dissertation is a solo contribution, defended publicly.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Portfolio:</w:t>
      </w:r>
      <w:r>
        <w:t xml:space="preserve"> </w:t>
      </w:r>
      <w:r>
        <w:t xml:space="preserve">individual, with a committee that includes a practitioner mentor.</w:t>
      </w:r>
    </w:p>
    <w:bookmarkEnd w:id="33"/>
    <w:bookmarkStart w:id="34" w:name="the-panel"/>
    <w:p>
      <w:pPr>
        <w:pStyle w:val="Heading3"/>
      </w:pPr>
      <w:r>
        <w:t xml:space="preserve">The panel</w:t>
      </w:r>
    </w:p>
    <w:p>
      <w:pPr>
        <w:pStyle w:val="FirstParagraph"/>
      </w:pPr>
      <w:r>
        <w:t xml:space="preserve">Every defense panel should include at least one</w:t>
      </w:r>
      <w:r>
        <w:t xml:space="preserve"> </w:t>
      </w:r>
      <w:r>
        <w:rPr>
          <w:b/>
          <w:bCs/>
        </w:rPr>
        <w:t xml:space="preserve">practitioner</w:t>
      </w:r>
      <w:r>
        <w:t xml:space="preserve"> </w:t>
      </w:r>
      <w:r>
        <w:t xml:space="preserve">(someone who has sat in a source-selection or bid/no-bid room) and at least one</w:t>
      </w:r>
      <w:r>
        <w:t xml:space="preserve"> </w:t>
      </w:r>
      <w:r>
        <w:rPr>
          <w:b/>
          <w:bCs/>
        </w:rPr>
        <w:t xml:space="preserve">faculty or research reader</w:t>
      </w:r>
      <w:r>
        <w:t xml:space="preserve"> </w:t>
      </w:r>
      <w:r>
        <w:t xml:space="preserve">(someone who will test the</w:t>
      </w:r>
      <w:r>
        <w:t xml:space="preserve"> </w:t>
      </w:r>
      <w:r>
        <w:rPr>
          <w:i/>
          <w:iCs/>
        </w:rPr>
        <w:t xml:space="preserve">reasoning</w:t>
      </w:r>
      <w:r>
        <w:t xml:space="preserve">, not the jargon). The panel’s job is the doctrine’s job: push until the student names the limits, then judge whether the work is</w:t>
      </w:r>
      <w:r>
        <w:t xml:space="preserve"> </w:t>
      </w:r>
      <w:r>
        <w:rPr>
          <w:i/>
          <w:iCs/>
        </w:rPr>
        <w:t xml:space="preserve">defensible</w:t>
      </w:r>
      <w:r>
        <w:t xml:space="preserve">, not perfect.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9" w:name="the-common-assessment-rubric"/>
    <w:p>
      <w:pPr>
        <w:pStyle w:val="Heading2"/>
      </w:pPr>
      <w:r>
        <w:t xml:space="preserve">The common assessment rubric</w:t>
      </w:r>
    </w:p>
    <w:p>
      <w:pPr>
        <w:pStyle w:val="FirstParagraph"/>
      </w:pPr>
      <w:r>
        <w:t xml:space="preserve">Every capstone in this folder is graded on the same four-level scale. The scale is deliberately coarse — four levels force a decision and discourage the</w:t>
      </w:r>
      <w:r>
        <w:t xml:space="preserve"> </w:t>
      </w:r>
      <w:r>
        <w:t xml:space="preserve">“</w:t>
      </w:r>
      <w:r>
        <w:t xml:space="preserve">everyone gets a B</w:t>
      </w:r>
      <w:r>
        <w:t xml:space="preserve">”</w:t>
      </w:r>
      <w:r>
        <w:t xml:space="preserve"> </w:t>
      </w:r>
      <w:r>
        <w:t xml:space="preserve">drift that destroys grading as a governance mechanism.</w:t>
      </w:r>
    </w:p>
    <w:bookmarkStart w:id="36" w:name="the-four-levels"/>
    <w:p>
      <w:pPr>
        <w:pStyle w:val="Heading3"/>
      </w:pPr>
      <w:r>
        <w:t xml:space="preserve">The four levels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the work looks like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Not Ready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deliverable does not yet do its job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 missing or wrong; facts wrong or fabricated; no visible doctrine; a reader cannot act on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Developing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shape is right, the execution is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Right structure with thin content; some parts strong, several parts weak; doctrine used but superficially; a reader can follow but not rely on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Proficient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deliverable is professional and defensible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Correct structure, complete content, doctrine applied correctly; evidence cited for claims; a reader could act on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Distinguished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work a senior professional or a researcher would be proud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Everything at Proficient plus: insight beyond the assignment, a hard problem met honestly, a defense that survives a hostile panel, and a lesson the field or the firm could use</w:t>
            </w:r>
          </w:p>
        </w:tc>
      </w:tr>
    </w:tbl>
    <w:bookmarkEnd w:id="36"/>
    <w:bookmarkStart w:id="37" w:name="the-shared-dimensions"/>
    <w:p>
      <w:pPr>
        <w:pStyle w:val="Heading3"/>
      </w:pPr>
      <w:r>
        <w:t xml:space="preserve">The shared dimensions</w:t>
      </w:r>
    </w:p>
    <w:p>
      <w:pPr>
        <w:pStyle w:val="FirstParagraph"/>
      </w:pPr>
      <w:r>
        <w:t xml:space="preserve">Every tier-specific rubric in this folder is built from these six dimensions, weighted differently by tier: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Dimension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tests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Ready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Distinguished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Domain mastery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 the learner read and operate the real documents and structures of the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Misreads core documents; wrong structures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Reads the solicitation, the factors, the volumes correctly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Reads them with insight — sees the strategy inside the compliance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Doctrine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 the pipeline, the gate, the score, the ORBITAL, or the color sequence visibly doing the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visible doctrine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applied correctly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 applied and</w:t>
            </w:r>
            <w:r>
              <w:t xml:space="preserve"> </w:t>
            </w:r>
            <w:r>
              <w:rPr>
                <w:i/>
                <w:iCs/>
              </w:rPr>
              <w:t xml:space="preserve">questioned</w:t>
            </w:r>
            <w:r>
              <w:t xml:space="preserve"> </w:t>
            </w:r>
            <w:r>
              <w:t xml:space="preserve">— the learner knows where it is right and where it is thin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Evidence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 claims grounded in data, sources, or documented reasoning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Assertion with no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Factors, prices, and calls argued with cited evidence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Evidence is weighted and triangulated; the learner names what the evidence cannot prove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Governance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Were the gates, criteria, owners, and reviews real — and written before the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Gates absent or after-the-fact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Gates identified with criteria and owners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gate charter is graded before the call; the learner is</w:t>
            </w:r>
            <w:r>
              <w:t xml:space="preserve"> </w:t>
            </w:r>
            <w:r>
              <w:rPr>
                <w:i/>
                <w:iCs/>
              </w:rPr>
              <w:t xml:space="preserve">bound</w:t>
            </w:r>
            <w:r>
              <w:t xml:space="preserve"> </w:t>
            </w:r>
            <w:r>
              <w:t xml:space="preserve">by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Artifacts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 the deliverables complete, coherent, and mutually consistent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Large omissions; volumes contradict each other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Complete and consistent; the four volumes tell one story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artifacts tell one story and the learner can defend every seam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Defense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 the learner survive a skeptical panel and own the limits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Evasive or unsupported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 and credible under questioning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Survives a hostile board; names the limits before the panel finds them</w:t>
            </w:r>
          </w:p>
        </w:tc>
      </w:tr>
    </w:tbl>
    <w:bookmarkEnd w:id="37"/>
    <w:bookmarkStart w:id="38" w:name="how-to-apply-the-scale-per-milestone"/>
    <w:p>
      <w:pPr>
        <w:pStyle w:val="Heading3"/>
      </w:pPr>
      <w:r>
        <w:t xml:space="preserve">How to apply the scale per milestone</w:t>
      </w:r>
    </w:p>
    <w:p>
      <w:pPr>
        <w:pStyle w:val="FirstParagraph"/>
      </w:pPr>
      <w:r>
        <w:t xml:space="preserve">Each sample capstone includes a</w:t>
      </w:r>
      <w:r>
        <w:t xml:space="preserve"> </w:t>
      </w:r>
      <w:r>
        <w:rPr>
          <w:b/>
          <w:bCs/>
        </w:rPr>
        <w:t xml:space="preserve">per-milestone rubric</w:t>
      </w:r>
      <w:r>
        <w:t xml:space="preserve">: for every week’s deliverable, the criteria and what each level earns. Two practical rules for graders: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Grade the milestone, not the trajectory.</w:t>
      </w:r>
      <w:r>
        <w:t xml:space="preserve"> </w:t>
      </w:r>
      <w:r>
        <w:t xml:space="preserve">A student who nails Week 4 but misses Week 9 gets credit for Week 4 and a developing on Week 9 — the capstone is a pipeline, and a weak stage downstream is a real defect, not a rounding error.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composite is the capstone.</w:t>
      </w:r>
      <w:r>
        <w:t xml:space="preserve"> </w:t>
      </w:r>
      <w:r>
        <w:t xml:space="preserve">Weight the milestones to match the tier’s priorities (the undergraduate sample weights the ORBITAL and the score; the graduate sample weights the capture plan and the price; the doctoral sample weights the design and the ethics plan), then convert the composite to the same four levels. The panel’s defense grade is the final gate — it can move the composite by one level in either direction, exactly as a real readiness gate can stop a submission.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0" w:name="how-the-tiers-connect-the-one-arc"/>
    <w:p>
      <w:pPr>
        <w:pStyle w:val="Heading2"/>
      </w:pPr>
      <w:r>
        <w:t xml:space="preserve">How the tiers connect: the one arc</w:t>
      </w:r>
    </w:p>
    <w:p>
      <w:pPr>
        <w:pStyle w:val="FirstParagraph"/>
      </w:pPr>
      <w:r>
        <w:t xml:space="preserve">The four sample capstones are not four separate assignments; they are</w:t>
      </w:r>
      <w:r>
        <w:t xml:space="preserve"> </w:t>
      </w:r>
      <w:r>
        <w:rPr>
          <w:b/>
          <w:bCs/>
        </w:rPr>
        <w:t xml:space="preserve">four renderings of one arc</w:t>
      </w:r>
      <w:r>
        <w:t xml:space="preserve"> </w:t>
      </w:r>
      <w:r>
        <w:t xml:space="preserve">— the discipline from first read to first research contribution:</w:t>
      </w:r>
    </w:p>
    <w:p>
      <w:pPr>
        <w:pStyle w:val="SourceCode"/>
      </w:pPr>
      <w:r>
        <w:rPr>
          <w:rStyle w:val="VerbatimChar"/>
        </w:rPr>
        <w:t xml:space="preserve"> Undergraduate        Graduate             Doctoral            Portfolio</w:t>
      </w:r>
      <w:r>
        <w:br/>
      </w:r>
      <w:r>
        <w:rPr>
          <w:rStyle w:val="VerbatimChar"/>
        </w:rPr>
        <w:t xml:space="preserve"> ────────────         ────────             ─────────           ─────────</w:t>
      </w:r>
      <w:r>
        <w:br/>
      </w:r>
      <w:r>
        <w:rPr>
          <w:rStyle w:val="VerbatimChar"/>
        </w:rPr>
        <w:t xml:space="preserve"> read → score         lead → govern        question → test     steward → teach</w:t>
      </w:r>
      <w:r>
        <w:br/>
      </w:r>
      <w:r>
        <w:rPr>
          <w:rStyle w:val="VerbatimChar"/>
        </w:rPr>
        <w:t xml:space="preserve"> build the ORBITAL    win the competition  prove the doctrine  see the whole arc</w:t>
      </w:r>
      <w:r>
        <w:br/>
      </w:r>
      <w:r>
        <w:rPr>
          <w:rStyle w:val="VerbatimChar"/>
        </w:rPr>
        <w:t xml:space="preserve"> CONSUME              APPLY                GENERATE            STEWARD</w:t>
      </w:r>
    </w:p>
    <w:p>
      <w:pPr>
        <w:pStyle w:val="FirstParagraph"/>
      </w:pPr>
      <w:r>
        <w:t xml:space="preserve">The undergraduate capstone proves the learner can</w:t>
      </w:r>
      <w:r>
        <w:t xml:space="preserve"> </w:t>
      </w:r>
      <w:r>
        <w:rPr>
          <w:i/>
          <w:iCs/>
        </w:rPr>
        <w:t xml:space="preserve">do</w:t>
      </w:r>
      <w:r>
        <w:t xml:space="preserve"> </w:t>
      </w:r>
      <w:r>
        <w:t xml:space="preserve">a pursuit. The graduate capstone proves the learner can</w:t>
      </w:r>
      <w:r>
        <w:t xml:space="preserve"> </w:t>
      </w:r>
      <w:r>
        <w:rPr>
          <w:i/>
          <w:iCs/>
        </w:rPr>
        <w:t xml:space="preserve">lead</w:t>
      </w:r>
      <w:r>
        <w:t xml:space="preserve"> </w:t>
      </w:r>
      <w:r>
        <w:t xml:space="preserve">a pursuit as a business. The doctoral capstone proves the learner can</w:t>
      </w:r>
      <w:r>
        <w:t xml:space="preserve"> </w:t>
      </w:r>
      <w:r>
        <w:rPr>
          <w:i/>
          <w:iCs/>
        </w:rPr>
        <w:t xml:space="preserve">study</w:t>
      </w:r>
      <w:r>
        <w:t xml:space="preserve"> </w:t>
      </w:r>
      <w:r>
        <w:t xml:space="preserve">the pursuit as a science. The portfolio capstone holds all three together over a career — the same person, the same doctrine, twenty years deeper. The</w:t>
      </w:r>
      <w:r>
        <w:t xml:space="preserve"> </w:t>
      </w:r>
      <w:hyperlink r:id="rId28">
        <w:r>
          <w:rPr>
            <w:rStyle w:val="VerbatimChar"/>
          </w:rPr>
          <w:t xml:space="preserve">portfolio-capstone.md</w:t>
        </w:r>
      </w:hyperlink>
      <w:r>
        <w:t xml:space="preserve"> </w:t>
      </w:r>
      <w:r>
        <w:t xml:space="preserve">sample explains the arc; each tier’s sample shows its own rung.</w:t>
      </w:r>
    </w:p>
    <w:p>
      <w:r>
        <w:pict>
          <v:rect style="width:0;height:1.5pt" o:hralign="center" o:hrstd="t" o:hr="t"/>
        </w:pict>
      </w:r>
    </w:p>
    <w:bookmarkEnd w:id="40"/>
    <w:bookmarkStart w:id="41" w:name="the-one-sentence-summary-of-this-folder"/>
    <w:p>
      <w:pPr>
        <w:pStyle w:val="Heading2"/>
      </w:pPr>
      <w:r>
        <w:t xml:space="preserve">The one-sentence summary of this folder</w:t>
      </w:r>
    </w:p>
    <w:p>
      <w:pPr>
        <w:pStyle w:val="FirstParagraph"/>
      </w:pPr>
      <w:r>
        <w:rPr>
          <w:b/>
          <w:bCs/>
        </w:rPr>
        <w:t xml:space="preserve">A capstone is the doctrine’s final gate: real work, written criteria, an honest score, a skeptical defense — and the four sample projects in this folder show what that looks like at the bachelor’s, master’s, doctoral, and lifetime-altitude rungs of the same ladder.</w:t>
      </w:r>
    </w:p>
    <w:bookmarkEnd w:id="41"/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26" Type="http://schemas.openxmlformats.org/officeDocument/2006/relationships/hyperlink" Target="graduate-capture-capstone.md" TargetMode="External"/><Relationship Id="rId3" Type="http://schemas.openxmlformats.org/officeDocument/2006/relationships/settings" Target="settings.xml"/><Relationship Id="rId21" Type="http://schemas.openxmlformats.org/officeDocument/2006/relationships/hyperlink" Target="../../course/capstone-build-an-orbital.md" TargetMode="External"/><Relationship Id="rId7" Type="http://schemas.openxmlformats.org/officeDocument/2006/relationships/footnotes" Target="footnotes.xml"/><Relationship Id="rId25" Type="http://schemas.openxmlformats.org/officeDocument/2006/relationships/hyperlink" Target="undergraduate-pursuit-capstone.md" TargetMode="External"/><Relationship Id="rId2" Type="http://schemas.openxmlformats.org/officeDocument/2006/relationships/styles" Target="styles.xml"/><Relationship Id="rId20" Type="http://schemas.openxmlformats.org/officeDocument/2006/relationships/hyperlink" Target="../../course/" TargetMode="External"/><Relationship Id="rId29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24" Type="http://schemas.openxmlformats.org/officeDocument/2006/relationships/hyperlink" Target="../../course/doctoral-program-overview.md" TargetMode="External"/><Relationship Id="rId5" Type="http://schemas.openxmlformats.org/officeDocument/2006/relationships/fontTable" Target="fontTable.xml"/><Relationship Id="rId23" Type="http://schemas.openxmlformats.org/officeDocument/2006/relationships/hyperlink" Target="../../course/graduate-program-overview.md" TargetMode="External"/><Relationship Id="rId28" Type="http://schemas.openxmlformats.org/officeDocument/2006/relationships/hyperlink" Target="portfolio-capstone.md" TargetMode="External"/><Relationship Id="rId31" Type="http://schemas.openxmlformats.org/officeDocument/2006/relationships/customXml" Target="../customXml/item3.xml"/><Relationship Id="rId4" Type="http://schemas.openxmlformats.org/officeDocument/2006/relationships/webSettings" Target="webSettings.xml"/><Relationship Id="rId22" Type="http://schemas.openxmlformats.org/officeDocument/2006/relationships/hyperlink" Target="../../course/undergraduate-480-capstone-build-an-orbital.md" TargetMode="External"/><Relationship Id="rId27" Type="http://schemas.openxmlformats.org/officeDocument/2006/relationships/hyperlink" Target="doctoral-research-capstone.md" TargetMode="External"/><Relationship Id="rId30" Type="http://schemas.openxmlformats.org/officeDocument/2006/relationships/customXml" Target="../customXml/item2.xm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../../course/" TargetMode="External" /><Relationship Type="http://schemas.openxmlformats.org/officeDocument/2006/relationships/hyperlink" Id="rId21" Target="../../course/capstone-build-an-orbital.md" TargetMode="External" /><Relationship Type="http://schemas.openxmlformats.org/officeDocument/2006/relationships/hyperlink" Id="rId24" Target="../../course/doctoral-program-overview.md" TargetMode="External" /><Relationship Type="http://schemas.openxmlformats.org/officeDocument/2006/relationships/hyperlink" Id="rId23" Target="../../course/graduate-program-overview.md" TargetMode="External" /><Relationship Type="http://schemas.openxmlformats.org/officeDocument/2006/relationships/hyperlink" Id="rId22" Target="../../course/undergraduate-480-capstone-build-an-orbital.md" TargetMode="External" /><Relationship Type="http://schemas.openxmlformats.org/officeDocument/2006/relationships/hyperlink" Id="rId27" Target="doctoral-research-capstone.md" TargetMode="External" /><Relationship Type="http://schemas.openxmlformats.org/officeDocument/2006/relationships/hyperlink" Id="rId26" Target="graduate-capture-capstone.md" TargetMode="External" /><Relationship Type="http://schemas.openxmlformats.org/officeDocument/2006/relationships/hyperlink" Id="rId28" Target="portfolio-capstone.md" TargetMode="External" /><Relationship Type="http://schemas.openxmlformats.org/officeDocument/2006/relationships/hyperlink" Id="rId25" Target="undergraduate-pursuit-capston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11869D8A-46FA-4F0C-8188-1A93BEBA2CBA}"/>
</file>

<file path=customXml/itemProps2.xml><?xml version="1.0" encoding="utf-8"?>
<ds:datastoreItem xmlns:ds="http://schemas.openxmlformats.org/officeDocument/2006/customXml" ds:itemID="{C9F24409-E143-48D9-A563-B2C6DBC85ADC}"/>
</file>

<file path=customXml/itemProps3.xml><?xml version="1.0" encoding="utf-8"?>
<ds:datastoreItem xmlns:ds="http://schemas.openxmlformats.org/officeDocument/2006/customXml" ds:itemID="{CBF4B689-C551-473B-AB30-07AB236BC53F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2026-08-05T15:37:52Z</dcterms:created>
  <dcterms:modified xsi:type="dcterms:W3CDTF">2026-08-05T15:37:52Z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