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e473e6e579dca10e6a40e3325e734c4a35aef94"/>
    <w:p>
      <w:pPr>
        <w:pStyle w:val="Heading1"/>
      </w:pPr>
      <w:r>
        <w:t xml:space="preserve">DL 304 — Data Literacy &amp; Analytics for Capture</w:t>
      </w:r>
    </w:p>
    <w:p>
      <w:pPr>
        <w:pStyle w:val="FirstParagraph"/>
      </w:pPr>
      <w:r>
        <w:rPr>
          <w:i/>
          <w:iCs/>
        </w:rPr>
        <w:t xml:space="preserve">The evidence course. You will learn to read the published record of the federal market the way a capture professional reads it — to sense opportunities, estimate win probability, and measure pipeline health — with nothing but public data, a spreadsheet, and the doctrine.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DL 304 ·</w:t>
      </w:r>
      <w:r>
        <w:t xml:space="preserve"> </w:t>
      </w:r>
      <w:r>
        <w:rPr>
          <w:b/>
          <w:bCs/>
        </w:rPr>
        <w:t xml:space="preserve">Credit hours: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Term:</w:t>
      </w:r>
      <w:r>
        <w:t xml:space="preserve"> </w:t>
      </w:r>
      <w:r>
        <w:t xml:space="preserve">14 weeks, one 75-minute session per week (plus independent reading and assignments) ·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junior undergraduates ·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DL 210; applied statistics (may be co-requisite) ·</w:t>
      </w:r>
      <w:r>
        <w:t xml:space="preserve"> </w:t>
      </w:r>
      <w:r>
        <w:rPr>
          <w:b/>
          <w:bCs/>
        </w:rPr>
        <w:t xml:space="preserve">Tier:</w:t>
      </w:r>
      <w:r>
        <w:t xml:space="preserve"> </w:t>
      </w:r>
      <w:r>
        <w:t xml:space="preserve">upper-division elective (Year 3) ·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this repository — the doctrine, the literacy maps, and public data (USAspending.gov, SAM.gov, Grants.gov) ·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a spreadsheet (or paper and a calculator). No specific analytics product is taught or required. Stack-agnostic by design (doctrine/08).</w:t>
      </w:r>
    </w:p>
    <w:bookmarkStart w:id="20" w:name="doctrine-spine"/>
    <w:p>
      <w:pPr>
        <w:pStyle w:val="Heading2"/>
      </w:pPr>
      <w:r>
        <w:t xml:space="preserve">Doctrine spine</w:t>
      </w:r>
    </w:p>
    <w:p>
      <w:pPr>
        <w:pStyle w:val="FirstParagraph"/>
      </w:pPr>
      <w:r>
        <w:rPr>
          <w:rStyle w:val="VerbatimChar"/>
        </w:rPr>
        <w:t xml:space="preserve">doctrine/01</w:t>
      </w:r>
      <w:r>
        <w:t xml:space="preserve"> </w:t>
      </w:r>
      <w:r>
        <w:t xml:space="preserve">(the market is published) and</w:t>
      </w:r>
      <w:r>
        <w:t xml:space="preserve"> </w:t>
      </w:r>
      <w:r>
        <w:rPr>
          <w:rStyle w:val="VerbatimChar"/>
        </w:rPr>
        <w:t xml:space="preserve">doctrine/03</w:t>
      </w:r>
      <w:r>
        <w:t xml:space="preserve"> </w:t>
      </w:r>
      <w:r>
        <w:t xml:space="preserve">(sensing and learning) form the spine, supported by</w:t>
      </w:r>
      <w:r>
        <w:t xml:space="preserve"> </w:t>
      </w:r>
      <w:r>
        <w:rPr>
          <w:rStyle w:val="VerbatimChar"/>
        </w:rPr>
        <w:t xml:space="preserve">doctrine/05</w:t>
      </w:r>
      <w:r>
        <w:t xml:space="preserve"> </w:t>
      </w:r>
      <w:r>
        <w:t xml:space="preserve">(scoring with evidence) and</w:t>
      </w:r>
      <w:r>
        <w:t xml:space="preserve"> </w:t>
      </w:r>
      <w:r>
        <w:rPr>
          <w:rStyle w:val="VerbatimChar"/>
        </w:rPr>
        <w:t xml:space="preserve">doctrine/08</w:t>
      </w:r>
      <w:r>
        <w:t xml:space="preserve"> </w:t>
      </w:r>
      <w:r>
        <w:t xml:space="preserve">(the machine doctrine as the same concepts encoded in data). The course teaches data literacy at</w:t>
      </w:r>
      <w:r>
        <w:t xml:space="preserve"> </w:t>
      </w:r>
      <w:r>
        <w:rPr>
          <w:i/>
          <w:iCs/>
        </w:rPr>
        <w:t xml:space="preserve">concept</w:t>
      </w:r>
      <w:r>
        <w:t xml:space="preserve"> </w:t>
      </w:r>
      <w:r>
        <w:t xml:space="preserve">altitude: what the public record shows, how to turn it into a pipeline view, and how to estimate and argue pWin with evidence.</w:t>
      </w:r>
    </w:p>
    <w:bookmarkEnd w:id="20"/>
    <w:bookmarkStart w:id="21" w:name="where-this-course-sits-in-the-program"/>
    <w:p>
      <w:pPr>
        <w:pStyle w:val="Heading2"/>
      </w:pPr>
      <w:r>
        <w:t xml:space="preserve">Where this course sits in the program</w:t>
      </w:r>
    </w:p>
    <w:p>
      <w:pPr>
        <w:pStyle w:val="FirstParagraph"/>
      </w:pPr>
      <w:r>
        <w:t xml:space="preserve">This is the</w:t>
      </w:r>
      <w:r>
        <w:t xml:space="preserve"> </w:t>
      </w:r>
      <w:r>
        <w:rPr>
          <w:b/>
          <w:bCs/>
        </w:rPr>
        <w:t xml:space="preserve">evidence</w:t>
      </w:r>
      <w:r>
        <w:t xml:space="preserve"> </w:t>
      </w:r>
      <w:r>
        <w:t xml:space="preserve">elective: the quantitative companion to the qualitative doctrine. It deepens the sensing stage of DL 210 and the scoring of DL 220, and it is the natural course for a student who wants the analytical edge in capture. It also demystifies the machine side of the wider doctrine — the AI layer that encodes these concepts is, underneath, this same discipline expressed in data and rules.</w:t>
      </w:r>
    </w:p>
    <w:p>
      <w:pPr>
        <w:pStyle w:val="BodyText"/>
      </w:pPr>
      <w:r>
        <w:rPr>
          <w:b/>
          <w:bCs/>
        </w:rPr>
        <w:t xml:space="preserve">Ladder:</w:t>
      </w:r>
      <w:r>
        <w:t xml:space="preserve"> </w:t>
      </w:r>
      <w:r>
        <w:t xml:space="preserve">DL 210 + applied statistics. Recommended pairing: DL 220. Feeds the capstone’s score and value work.</w:t>
      </w:r>
    </w:p>
    <w:bookmarkEnd w:id="21"/>
    <w:bookmarkStart w:id="22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Explain why the federal market’s data is public, and name where the authoritative records live (USAspending, FPDS, SAM.gov, Grants.gov).</w:t>
      </w:r>
    </w:p>
    <w:p>
      <w:pPr>
        <w:pStyle w:val="Compact"/>
        <w:numPr>
          <w:ilvl w:val="0"/>
          <w:numId w:val="1001"/>
        </w:numPr>
      </w:pPr>
      <w:r>
        <w:t xml:space="preserve">Read a published award record and extract what it reveals: who won, for how much, for what, and who competed.</w:t>
      </w:r>
    </w:p>
    <w:p>
      <w:pPr>
        <w:pStyle w:val="Compact"/>
        <w:numPr>
          <w:ilvl w:val="0"/>
          <w:numId w:val="1001"/>
        </w:numPr>
      </w:pPr>
      <w:r>
        <w:t xml:space="preserve">Build an opportunity-sensing pipeline from public sources: forecasts, expiring contracts, and the agency’s own plans.</w:t>
      </w:r>
    </w:p>
    <w:p>
      <w:pPr>
        <w:pStyle w:val="Compact"/>
        <w:numPr>
          <w:ilvl w:val="0"/>
          <w:numId w:val="1001"/>
        </w:numPr>
      </w:pPr>
      <w:r>
        <w:t xml:space="preserve">Turn the pipeline into a funnel view: stages, conversion, and where the leverage lives.</w:t>
      </w:r>
    </w:p>
    <w:p>
      <w:pPr>
        <w:pStyle w:val="Compact"/>
        <w:numPr>
          <w:ilvl w:val="0"/>
          <w:numId w:val="1001"/>
        </w:numPr>
      </w:pPr>
      <w:r>
        <w:t xml:space="preserve">Estimate pWin with evidence: factor scores grounded in data, not vibes.</w:t>
      </w:r>
    </w:p>
    <w:p>
      <w:pPr>
        <w:pStyle w:val="Compact"/>
        <w:numPr>
          <w:ilvl w:val="0"/>
          <w:numId w:val="1001"/>
        </w:numPr>
      </w:pPr>
      <w:r>
        <w:t xml:space="preserve">Build a scoring model in a spreadsheet and stress-test it.</w:t>
      </w:r>
    </w:p>
    <w:p>
      <w:pPr>
        <w:pStyle w:val="Compact"/>
        <w:numPr>
          <w:ilvl w:val="0"/>
          <w:numId w:val="1001"/>
        </w:numPr>
      </w:pPr>
      <w:r>
        <w:t xml:space="preserve">Measure pipeline health: the metrics a leader watches weekly.</w:t>
      </w:r>
    </w:p>
    <w:p>
      <w:pPr>
        <w:pStyle w:val="Compact"/>
        <w:numPr>
          <w:ilvl w:val="0"/>
          <w:numId w:val="1001"/>
        </w:numPr>
      </w:pPr>
      <w:r>
        <w:t xml:space="preserve">Use public competitive data (incumbents, partners, the field) to inform a pursuit decision.</w:t>
      </w:r>
    </w:p>
    <w:p>
      <w:pPr>
        <w:pStyle w:val="Compact"/>
        <w:numPr>
          <w:ilvl w:val="0"/>
          <w:numId w:val="1001"/>
        </w:numPr>
      </w:pPr>
      <w:r>
        <w:t xml:space="preserve">Explain the machine doctrine: an AI layer that encodes the doctrine is this discipline expressed in rules and data — and tell a concept from a tool.</w:t>
      </w:r>
    </w:p>
    <w:p>
      <w:pPr>
        <w:pStyle w:val="Compact"/>
        <w:numPr>
          <w:ilvl w:val="0"/>
          <w:numId w:val="1001"/>
        </w:numPr>
      </w:pPr>
      <w:r>
        <w:t xml:space="preserve">Reason about the ethics of public data: what it can and cannot show, and how to use it honestly.</w:t>
      </w:r>
    </w:p>
    <w:bookmarkEnd w:id="22"/>
    <w:bookmarkStart w:id="23" w:name="how-the-course-works"/>
    <w:p>
      <w:pPr>
        <w:pStyle w:val="Heading2"/>
      </w:pPr>
      <w:r>
        <w:t xml:space="preserve">How the course works</w:t>
      </w:r>
    </w:p>
    <w:p>
      <w:pPr>
        <w:pStyle w:val="FirstParagraph"/>
      </w:pPr>
      <w:r>
        <w:t xml:space="preserve">The course is a 14-week data project on a real market segment (Ravonics’s lanes by default). Each week adds a layer: the sources, the award records, the pipeline, the score, the metrics, the memo. The midterm is a data profile of a market segment; the final is an analytics memo that informs a real pursuit decision.</w:t>
      </w:r>
    </w:p>
    <w:bookmarkEnd w:id="23"/>
    <w:bookmarkStart w:id="24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(doctrine / literacy)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published market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federal market is the most published market there is. What the record exists to do.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</w:t>
            </w:r>
            <w:r>
              <w:t xml:space="preserve"> </w:t>
            </w:r>
            <w:r>
              <w:t xml:space="preserve">“</w:t>
            </w:r>
            <w:r>
              <w:t xml:space="preserve">what the public record makes possible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the data lives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USAspending, FPDS, SAM.gov, Grants.gov, agency forecasts. What each one is the authority for.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literacy/where-the-money-flows.md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source map: five data sources, what each is for, one real URL each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an award 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won, how much, for what, who competed. The award as the raw material of the next cycle.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literacy/where-the-money-flows.md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 and annotate three real award records in your market segment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Opportunity sensing with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Forecasts, expiring contracts, sources sought. Seeing the market before the solicitation drops.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sensing pipeline for Ravonics’s lanes: sources, cadence, signals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pipeline as a funnel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Stages, conversion, and where the leverage lives. The funnel as the business view.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a funnel view of a segment: opportunities by stage, conversion estimates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Estimating pWin with evidence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scores grounded in data: past performance, incumbency, competition, fit.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data-grounded pWin estimate for one real opportunity, factor by factor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 class: present a data profile of a market segment — the money, the players, the patterns.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Scoring models in a spreadsheet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the pWin × value model, stress-test it, and see where the assumptions bite.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spreadsheet scoring model for three real 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health metrics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a leader watches weekly: pipeline value, conversion, aging, and the gates that protect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pipeline-health dashboard (metrics + the gates that drive them)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 and budget analytics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Grounding the value estimate and the budget axis in the record.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value-and-cost data brief for one opportunity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Competitive analysis from public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Incumbents, partners, the field — read from awards and forecasts.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competitive landscape data brief for one opportunity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machine doctrine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 AI layer encodes the same concepts. What the data and rules are trying to hold constant.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explainer:</w:t>
            </w:r>
            <w:r>
              <w:t xml:space="preserve"> </w:t>
            </w:r>
            <w:r>
              <w:t xml:space="preserve">“</w:t>
            </w:r>
            <w:r>
              <w:t xml:space="preserve">what the machine is encoding, and how I would check it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Ethics of public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the record shows and hides. Using it honestly; not over-reading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ethics brief on a data interpretation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Final: analytics memo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Present an analytics memo informing a real pursuit decision — data, model, recommendation.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submission</w:t>
            </w:r>
          </w:p>
        </w:tc>
      </w:tr>
    </w:tbl>
    <w:bookmarkEnd w:id="24"/>
    <w:bookmarkStart w:id="25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assignments</w:t>
      </w:r>
      <w:r>
        <w:t xml:space="preserve"> </w:t>
      </w:r>
      <w:r>
        <w:t xml:space="preserve">— 30% (each a concrete artifact: a map, a profile, a model).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Midterm</w:t>
      </w:r>
      <w:r>
        <w:t xml:space="preserve"> </w:t>
      </w:r>
      <w:r>
        <w:t xml:space="preserve">— 25% (market-segment data profile, presented).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Final analytics memo</w:t>
      </w:r>
      <w:r>
        <w:t xml:space="preserve"> </w:t>
      </w:r>
      <w:r>
        <w:t xml:space="preserve">— 30%.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Participation and peer review</w:t>
      </w:r>
      <w:r>
        <w:t xml:space="preserve"> </w:t>
      </w:r>
      <w:r>
        <w:t xml:space="preserve">— 15%.</w:t>
      </w:r>
    </w:p>
    <w:p>
      <w:pPr>
        <w:pStyle w:val="FirstParagraph"/>
      </w:pPr>
      <w:r>
        <w:t xml:space="preserve">Rubric per</w:t>
      </w:r>
      <w:r>
        <w:t xml:space="preserve"> </w:t>
      </w:r>
      <w:r>
        <w:rPr>
          <w:rStyle w:val="VerbatimChar"/>
        </w:rPr>
        <w:t xml:space="preserve">course/assessments-and-rubric.md</w:t>
      </w:r>
      <w:r>
        <w:t xml:space="preserve">, with the additional standard that</w:t>
      </w:r>
      <w:r>
        <w:t xml:space="preserve"> </w:t>
      </w:r>
      <w:r>
        <w:rPr>
          <w:b/>
          <w:bCs/>
        </w:rPr>
        <w:t xml:space="preserve">every number carries a source</w:t>
      </w:r>
      <w:r>
        <w:t xml:space="preserve">. An un-sourced figure is treated the way the market treats it: as noise.</w:t>
      </w:r>
    </w:p>
    <w:bookmarkEnd w:id="25"/>
    <w:bookmarkStart w:id="26" w:name="the-midterm"/>
    <w:p>
      <w:pPr>
        <w:pStyle w:val="Heading2"/>
      </w:pPr>
      <w:r>
        <w:t xml:space="preserve">The midterm</w:t>
      </w:r>
    </w:p>
    <w:p>
      <w:pPr>
        <w:pStyle w:val="FirstParagraph"/>
      </w:pPr>
      <w:r>
        <w:t xml:space="preserve">In class, present a data profile of a market segment: the money (what is spent, on what), the players (who wins, who teams), and the patterns (what the record reveals about how the segment moves). The panel’s job:</w:t>
      </w:r>
      <w: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Where is that number from? What does it not show?</w:t>
      </w:r>
      <w:r>
        <w:rPr>
          <w:i/>
          <w:iCs/>
        </w:rPr>
        <w:t xml:space="preserve">”</w:t>
      </w:r>
      <w:r>
        <w:t xml:space="preserve"> </w:t>
      </w:r>
      <w:r>
        <w:t xml:space="preserve">A profile that over-reads its data loses to one that states its limits.</w:t>
      </w:r>
    </w:p>
    <w:bookmarkEnd w:id="26"/>
    <w:bookmarkStart w:id="27" w:name="the-final"/>
    <w:p>
      <w:pPr>
        <w:pStyle w:val="Heading2"/>
      </w:pPr>
      <w:r>
        <w:t xml:space="preserve">The final</w:t>
      </w:r>
    </w:p>
    <w:p>
      <w:pPr>
        <w:pStyle w:val="FirstParagraph"/>
      </w:pPr>
      <w:r>
        <w:t xml:space="preserve">An analytics memo informing a real pursuit decision: the segment profile, a data-grounded pWin, a scoring model, a pipeline view, and a recommendation — each number sourced, each assumption stated. Presented and defended.</w:t>
      </w:r>
    </w:p>
    <w:bookmarkEnd w:id="27"/>
    <w:bookmarkStart w:id="28" w:name="policies-worth-stating-plainly"/>
    <w:p>
      <w:pPr>
        <w:pStyle w:val="Heading2"/>
      </w:pPr>
      <w:r>
        <w:t xml:space="preserve">Policies worth stating plainly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doctrine is the course.</w:t>
      </w:r>
      <w:r>
        <w:t xml:space="preserve"> </w:t>
      </w:r>
      <w:r>
        <w:t xml:space="preserve">Every assignment tests the concept, never a tool. If an assignment ever seems to require knowledge of a specific product or system, that is a bug in the assignment — flag it.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Every number carries a source.</w:t>
      </w:r>
      <w:r>
        <w:t xml:space="preserve"> </w:t>
      </w:r>
      <w:r>
        <w:t xml:space="preserve">The published record is the authority; an un-sourced figure is an unsupported claim.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Real data, safe exercises.</w:t>
      </w:r>
      <w:r>
        <w:t xml:space="preserve"> </w:t>
      </w:r>
      <w:r>
        <w:t xml:space="preserve">We use real public data. You never submit anything live in this course.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Academic integrity.</w:t>
      </w:r>
      <w:r>
        <w:t xml:space="preserve"> </w:t>
      </w:r>
      <w:r>
        <w:t xml:space="preserve">Do not fabricate data or overstate what a record shows. The discipline of the source is the discipline of the market.</w:t>
      </w:r>
    </w:p>
    <w:bookmarkEnd w:id="28"/>
    <w:bookmarkStart w:id="29" w:name="the-course-in-one-sentence"/>
    <w:p>
      <w:pPr>
        <w:pStyle w:val="Heading2"/>
      </w:pPr>
      <w:r>
        <w:t xml:space="preserve">The course in one sentence</w:t>
      </w:r>
    </w:p>
    <w:p>
      <w:pPr>
        <w:pStyle w:val="FirstParagraph"/>
      </w:pPr>
      <w:r>
        <w:rPr>
          <w:b/>
          <w:bCs/>
        </w:rPr>
        <w:t xml:space="preserve">By Week 14 you will be able to read the federal market’s published record like a map — sense the opportunities, estimate the probabilities, measure the pipeline — and you will have learned that the machine side of this discipline is not magic: it is these same concepts, encoded in data and rules.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84BF39DA-1A97-4B86-9946-ECEF30D89F8A}"/>
</file>

<file path=customXml/itemProps2.xml><?xml version="1.0" encoding="utf-8"?>
<ds:datastoreItem xmlns:ds="http://schemas.openxmlformats.org/officeDocument/2006/customXml" ds:itemID="{97D1F056-7F5F-4B08-9ED2-54809ADEDCD7}"/>
</file>

<file path=customXml/itemProps3.xml><?xml version="1.0" encoding="utf-8"?>
<ds:datastoreItem xmlns:ds="http://schemas.openxmlformats.org/officeDocument/2006/customXml" ds:itemID="{04E26C9B-30F0-4BA7-B915-BABC261B51C0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2026-08-05T12:04:03Z</dcterms:created>
  <dcterms:modified xsi:type="dcterms:W3CDTF">2026-08-05T12:04:03Z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