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dl-220-pricing-price-to-win-fundamentals"/>
    <w:p>
      <w:pPr>
        <w:pStyle w:val="Heading1"/>
      </w:pPr>
      <w:r>
        <w:t xml:space="preserve">DL 220 — Pricing &amp; Price-to-Win Fundamentals</w:t>
      </w:r>
    </w:p>
    <w:p>
      <w:pPr>
        <w:pStyle w:val="FirstParagraph"/>
      </w:pPr>
      <w:r>
        <w:rPr>
          <w:i/>
          <w:iCs/>
        </w:rPr>
        <w:t xml:space="preserve">The arithmetic course. You will turn hope into numbers: the score (pWin × value), the threshold that keeps the pipeline honest, and the price-to-win position that decides what to bid — above your floor, inside the competitive range, priced to your story.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DL 220 ·</w:t>
      </w:r>
      <w:r>
        <w:t xml:space="preserve"> </w:t>
      </w:r>
      <w:r>
        <w:rPr>
          <w:b/>
          <w:bCs/>
        </w:rPr>
        <w:t xml:space="preserve">Credit hours: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Term:</w:t>
      </w:r>
      <w:r>
        <w:t xml:space="preserve"> </w:t>
      </w:r>
      <w:r>
        <w:t xml:space="preserve">14 weeks, one 75-minute session per week (plus independent reading and assignments) ·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sophomore undergraduates ·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DL 101 and DL 102; applied statistics (may be co-requisite) ·</w:t>
      </w:r>
      <w:r>
        <w:t xml:space="preserve"> </w:t>
      </w:r>
      <w:r>
        <w:rPr>
          <w:b/>
          <w:bCs/>
        </w:rPr>
        <w:t xml:space="preserve">Tier:</w:t>
      </w:r>
      <w:r>
        <w:t xml:space="preserve"> </w:t>
      </w:r>
      <w:r>
        <w:t xml:space="preserve">core (Year 2, Spring) ·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this repository — the doctrine, the literacy maps, and the Ravonics case ·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a spreadsheet or paper and a calculator. No specific product is taught or required. Stack-agnostic by design (doctrine/08).</w:t>
      </w:r>
    </w:p>
    <w:bookmarkStart w:id="20" w:name="doctrine-spine"/>
    <w:p>
      <w:pPr>
        <w:pStyle w:val="Heading2"/>
      </w:pPr>
      <w:r>
        <w:t xml:space="preserve">Doctrine spine</w:t>
      </w:r>
    </w:p>
    <w:p>
      <w:pPr>
        <w:pStyle w:val="FirstParagraph"/>
      </w:pPr>
      <w:r>
        <w:rPr>
          <w:rStyle w:val="VerbatimChar"/>
        </w:rPr>
        <w:t xml:space="preserve">doctrine/05</w:t>
      </w:r>
      <w:r>
        <w:t xml:space="preserve"> </w:t>
      </w:r>
      <w:r>
        <w:t xml:space="preserve">(scoring and price-to-win) is the spine, supported by</w:t>
      </w:r>
      <w:r>
        <w:t xml:space="preserve"> </w:t>
      </w:r>
      <w:r>
        <w:rPr>
          <w:rStyle w:val="VerbatimChar"/>
        </w:rPr>
        <w:t xml:space="preserve">doctrine/06</w:t>
      </w:r>
      <w:r>
        <w:t xml:space="preserve"> </w:t>
      </w:r>
      <w:r>
        <w:t xml:space="preserve">(the ORBITAL’s budget axis) and</w:t>
      </w:r>
      <w:r>
        <w:t xml:space="preserve"> </w:t>
      </w:r>
      <w:r>
        <w:rPr>
          <w:rStyle w:val="VerbatimChar"/>
        </w:rPr>
        <w:t xml:space="preserve">doctrine/03</w:t>
      </w:r>
      <w:r>
        <w:t xml:space="preserve">/</w:t>
      </w:r>
      <w:r>
        <w:rPr>
          <w:rStyle w:val="VerbatimChar"/>
        </w:rPr>
        <w:t xml:space="preserve">doctrine/04</w:t>
      </w:r>
      <w:r>
        <w:t xml:space="preserve"> </w:t>
      </w:r>
      <w:r>
        <w:t xml:space="preserve">(where the score and the threshold live in the pipeline and its gates). The course teaches the</w:t>
      </w:r>
      <w:r>
        <w:t xml:space="preserve"> </w:t>
      </w:r>
      <w:r>
        <w:rPr>
          <w:i/>
          <w:iCs/>
        </w:rPr>
        <w:t xml:space="preserve">discipline</w:t>
      </w:r>
      <w:r>
        <w:t xml:space="preserve"> </w:t>
      </w:r>
      <w:r>
        <w:t xml:space="preserve">of pricing — cost floors, margin floors by contract type, prohibited price actions, escalation to a pricing authority, and the basis of estimate — at concept altitude, the way a professional pricing organization encodes it.</w:t>
      </w:r>
    </w:p>
    <w:bookmarkEnd w:id="20"/>
    <w:bookmarkStart w:id="21" w:name="where-this-course-sits-in-the-program"/>
    <w:p>
      <w:pPr>
        <w:pStyle w:val="Heading2"/>
      </w:pPr>
      <w:r>
        <w:t xml:space="preserve">Where this course sits in the program</w:t>
      </w:r>
    </w:p>
    <w:p>
      <w:pPr>
        <w:pStyle w:val="FirstParagraph"/>
      </w:pPr>
      <w:r>
        <w:t xml:space="preserve">This is the</w:t>
      </w:r>
      <w:r>
        <w:t xml:space="preserve"> </w:t>
      </w:r>
      <w:r>
        <w:rPr>
          <w:b/>
          <w:bCs/>
        </w:rPr>
        <w:t xml:space="preserve">money</w:t>
      </w:r>
      <w:r>
        <w:t xml:space="preserve"> </w:t>
      </w:r>
      <w:r>
        <w:t xml:space="preserve">course of the major: where the business analysis lives. DL 210 taught you what to chase; DL 220 teaches you what to bid and how to know what a win is worth. It is the natural companion to DL 210 — many students take them in the same year. It is the prerequisite for DL 305 (Negotiations) and feeds the pricing volume of the capstone.</w:t>
      </w:r>
    </w:p>
    <w:p>
      <w:pPr>
        <w:pStyle w:val="BodyText"/>
      </w:pPr>
      <w:r>
        <w:rPr>
          <w:b/>
          <w:bCs/>
        </w:rPr>
        <w:t xml:space="preserve">Ladder:</w:t>
      </w:r>
      <w:r>
        <w:t xml:space="preserve"> </w:t>
      </w:r>
      <w:r>
        <w:t xml:space="preserve">DL 101 + DL 102. Co-requisite with DL 210 (recommended). Prerequisite for DL 305. Feeds DL 480.</w:t>
      </w:r>
    </w:p>
    <w:bookmarkEnd w:id="21"/>
    <w:bookmarkStart w:id="22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Compute a pursuit score as pWin × value and explain why multiplying the two matters.</w:t>
      </w:r>
    </w:p>
    <w:p>
      <w:pPr>
        <w:pStyle w:val="Compact"/>
        <w:numPr>
          <w:ilvl w:val="0"/>
          <w:numId w:val="1001"/>
        </w:numPr>
      </w:pPr>
      <w:r>
        <w:t xml:space="preserve">Break a pWin estimate into weighted factors and defend each factor with evidence — the difference between an opinion and a guess.</w:t>
      </w:r>
    </w:p>
    <w:p>
      <w:pPr>
        <w:pStyle w:val="Compact"/>
        <w:numPr>
          <w:ilvl w:val="0"/>
          <w:numId w:val="1001"/>
        </w:numPr>
      </w:pPr>
      <w:r>
        <w:t xml:space="preserve">Apply a threshold gate: state the line in advance, pass or fail honestly, and park a below-threshold pursuit without drama.</w:t>
      </w:r>
    </w:p>
    <w:p>
      <w:pPr>
        <w:pStyle w:val="Compact"/>
        <w:numPr>
          <w:ilvl w:val="0"/>
          <w:numId w:val="1001"/>
        </w:numPr>
      </w:pPr>
      <w:r>
        <w:t xml:space="preserve">Explain price-to-win as a</w:t>
      </w:r>
      <w:r>
        <w:t xml:space="preserve"> </w:t>
      </w:r>
      <w:r>
        <w:rPr>
          <w:i/>
          <w:iCs/>
        </w:rPr>
        <w:t xml:space="preserve">position</w:t>
      </w:r>
      <w:r>
        <w:t xml:space="preserve"> </w:t>
      </w:r>
      <w:r>
        <w:t xml:space="preserve">— the intersection of your cost floor, the competitive range, and what the evaluation rewards.</w:t>
      </w:r>
    </w:p>
    <w:p>
      <w:pPr>
        <w:pStyle w:val="Compact"/>
        <w:numPr>
          <w:ilvl w:val="0"/>
          <w:numId w:val="1001"/>
        </w:numPr>
      </w:pPr>
      <w:r>
        <w:t xml:space="preserve">Distinguish LPTA (lowest price technically acceptable) from best-value evaluation and price each one differently.</w:t>
      </w:r>
    </w:p>
    <w:p>
      <w:pPr>
        <w:pStyle w:val="Compact"/>
        <w:numPr>
          <w:ilvl w:val="0"/>
          <w:numId w:val="1001"/>
        </w:numPr>
      </w:pPr>
      <w:r>
        <w:t xml:space="preserve">Name the cost structure of a bid: direct labor, fringe, overhead, G&amp;A, fee — and what</w:t>
      </w:r>
      <w:r>
        <w:t xml:space="preserve"> </w:t>
      </w:r>
      <w:r>
        <w:t xml:space="preserve">“</w:t>
      </w:r>
      <w:r>
        <w:t xml:space="preserve">fully burdened</w:t>
      </w:r>
      <w:r>
        <w:t xml:space="preserve">”</w:t>
      </w:r>
      <w:r>
        <w:t xml:space="preserve"> </w:t>
      </w:r>
      <w:r>
        <w:t xml:space="preserve">means.</w:t>
      </w:r>
    </w:p>
    <w:p>
      <w:pPr>
        <w:pStyle w:val="Compact"/>
        <w:numPr>
          <w:ilvl w:val="0"/>
          <w:numId w:val="1001"/>
        </w:numPr>
      </w:pPr>
      <w:r>
        <w:t xml:space="preserve">Apply margin floors by contract type (firm-fixed-price, time-and-materials, cost-plus, IDIQ, grant) and explain why a too-low bid is a business risk, not just lost profit.</w:t>
      </w:r>
    </w:p>
    <w:p>
      <w:pPr>
        <w:pStyle w:val="Compact"/>
        <w:numPr>
          <w:ilvl w:val="0"/>
          <w:numId w:val="1001"/>
        </w:numPr>
      </w:pPr>
      <w:r>
        <w:t xml:space="preserve">Identify prohibited pricing actions (below-floor without authority, rate below cost, bait-and-switch, undisclosed price drop, predatory pricing) and the escalation that protects against them.</w:t>
      </w:r>
    </w:p>
    <w:p>
      <w:pPr>
        <w:pStyle w:val="Compact"/>
        <w:numPr>
          <w:ilvl w:val="0"/>
          <w:numId w:val="1001"/>
        </w:numPr>
      </w:pPr>
      <w:r>
        <w:t xml:space="preserve">Build a basis of estimate (BOE): each cost element, its quantity, its unit cost, and its source.</w:t>
      </w:r>
    </w:p>
    <w:p>
      <w:pPr>
        <w:pStyle w:val="Compact"/>
        <w:numPr>
          <w:ilvl w:val="0"/>
          <w:numId w:val="1001"/>
        </w:numPr>
      </w:pPr>
      <w:r>
        <w:t xml:space="preserve">Read incumbency and competitive pressure into a price decision.</w:t>
      </w:r>
    </w:p>
    <w:p>
      <w:pPr>
        <w:pStyle w:val="Compact"/>
        <w:numPr>
          <w:ilvl w:val="0"/>
          <w:numId w:val="1001"/>
        </w:numPr>
      </w:pPr>
      <w:r>
        <w:t xml:space="preserve">Produce a full price-to-win recommendation for a real pursuit, with the arithmetic shown.</w:t>
      </w:r>
    </w:p>
    <w:bookmarkEnd w:id="22"/>
    <w:bookmarkStart w:id="23" w:name="how-the-course-works"/>
    <w:p>
      <w:pPr>
        <w:pStyle w:val="Heading2"/>
      </w:pPr>
      <w:r>
        <w:t xml:space="preserve">How the course works</w:t>
      </w:r>
    </w:p>
    <w:p>
      <w:pPr>
        <w:pStyle w:val="FirstParagraph"/>
      </w:pPr>
      <w:r>
        <w:t xml:space="preserve">The course alternates between the score and the price. Weeks 1–7 build the scoring discipline; weeks 8–13 build the pricing discipline; week 14 brings both together in a full recommendation. Every week uses real (published, closed) solicitations and real published award data where visible — and the Ravonics case as the default company, so everyone prices the same small firm through the same market.</w:t>
      </w:r>
    </w:p>
    <w:bookmarkEnd w:id="23"/>
    <w:bookmarkStart w:id="24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(doctrine / literacy)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score is pWin × 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Turn hope into arithmetic. Two numbers, one decision. Why the arithmetic makes the conversation honest.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</w:t>
            </w:r>
            <w:r>
              <w:t xml:space="preserve"> </w:t>
            </w:r>
            <w:r>
              <w:t xml:space="preserve">“</w:t>
            </w:r>
            <w:r>
              <w:t xml:space="preserve">what is a score</w:t>
            </w:r>
            <w:r>
              <w:t xml:space="preserve">”</w:t>
            </w:r>
            <w:r>
              <w:t xml:space="preserve"> </w:t>
            </w:r>
            <w:r>
              <w:t xml:space="preserve">explainer with a worked example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pWin as a defensible opinion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factor rubric: customer, past performance, pricing, team, strategy. Weighted, auditable, argued with evidence.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a pWin rubric for your term opportunity and score each factor with evidence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Threshold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pass/fail line. Why the discipline matters more than the exact number. The courage to say no.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threshold charter for your term opportunity: the line, the evidence, the owner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Value: what is it worth?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 value grounded in the solicitation’s own numbers. The budget axis as the reality check.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value estimate for your opportunity, with two independent anchors (solicitation + published award)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Composite and the call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pWin × value, the composite, the disposition. The score informs the gate; the human makes the call.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scored-and-decided pursuit sheet for your opportunity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From score to 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score decides whether to pursue; price-to-win decides what to bid. Two disciplines, one pursuit.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bridge: your score, and the three price-to-win inputs you will need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 class: present your scored-and-decided pursuit sheet — pWin factors, value, composite, threshold call — and defend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Price-to-win as a 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floor, competitive range, evaluation reward. The right bid is low enough to compete and high enough to be real.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price-to-win frame for your opportunity: the three inputs, named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LPTA vs. best-value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Lowest price technically acceptable vs. best value. When a higher price is the winning move.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literacy/how-to-read-an-rfp.md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evaluation-posture brief for your opportunity: which game is the agency playing?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cost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labor, fringe, overhead, G&amp;A, fee. What</w:t>
            </w:r>
            <w:r>
              <w:t xml:space="preserve"> </w:t>
            </w:r>
            <w:r>
              <w:t xml:space="preserve">“</w:t>
            </w:r>
            <w:r>
              <w:t xml:space="preserve">fully burdened</w:t>
            </w:r>
            <w:r>
              <w:t xml:space="preserve">”</w:t>
            </w:r>
            <w:r>
              <w:t xml:space="preserve"> </w:t>
            </w:r>
            <w:r>
              <w:t xml:space="preserve">means, and why the floor is the floor.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doctrine/06; 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a simple cost model for your opportunity: five cost elements, a burdened rate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Margin floors by contract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FFP, T&amp;M, cost-plus, IDIQ, grant — the floor and target for each, and the risk each carries.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margin-floor sheet for your opportunity: contract type, floor, target, and the risk note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discipline and escalation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Prohibited actions (below-floor, rate-below-cost, bait-and-switch, undisclosed drop, predatory). Escalation to the pricing authority.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pricing-discipline checklist and an escalation plan for your opportunity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basis of estimate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cost element justified: quantity, unit cost, source. The BOE as the evidence the price stands 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BOE for your opportunity: five elements, each with a source of estimate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Final: price-to-win recommendation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Present the full recommendation — score, value, cost floor, competitive range, recommended price, and the story that justifies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submission</w:t>
            </w:r>
          </w:p>
        </w:tc>
      </w:tr>
    </w:tbl>
    <w:bookmarkEnd w:id="24"/>
    <w:bookmarkStart w:id="25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artifacts</w:t>
      </w:r>
      <w:r>
        <w:t xml:space="preserve"> </w:t>
      </w:r>
      <w:r>
        <w:t xml:space="preserve">— 30% (the scoring sheets, cost models, and pricing briefs built week by week).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</w:t>
      </w:r>
      <w:r>
        <w:t xml:space="preserve"> </w:t>
      </w:r>
      <w:r>
        <w:t xml:space="preserve">— 25% (scored-and-decided pursuit sheet, presented and defended).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price-to-win recommendation</w:t>
      </w:r>
      <w:r>
        <w:t xml:space="preserve"> </w:t>
      </w:r>
      <w:r>
        <w:t xml:space="preserve">— 30% (the complete pricing package, presented and defended).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</w:t>
      </w:r>
      <w:r>
        <w:t xml:space="preserve"> </w:t>
      </w:r>
      <w:r>
        <w:t xml:space="preserve">— 15%.</w:t>
      </w:r>
    </w:p>
    <w:p>
      <w:pPr>
        <w:pStyle w:val="FirstParagraph"/>
      </w:pPr>
      <w:r>
        <w:t xml:space="preserve">Rubric per</w:t>
      </w:r>
      <w:r>
        <w:t xml:space="preserve"> </w:t>
      </w:r>
      <w:r>
        <w:rPr>
          <w:rStyle w:val="VerbatimChar"/>
        </w:rPr>
        <w:t xml:space="preserve">course/assessments-and-rubric.md</w:t>
      </w:r>
      <w:r>
        <w:t xml:space="preserve">, with the additional standard that</w:t>
      </w:r>
      <w:r>
        <w:t xml:space="preserve"> </w:t>
      </w:r>
      <w:r>
        <w:rPr>
          <w:i/>
          <w:iCs/>
        </w:rPr>
        <w:t xml:space="preserve">the arithmetic must be shown</w:t>
      </w:r>
      <w:r>
        <w:t xml:space="preserve">. A price without a visible cost model is a guess.</w:t>
      </w:r>
    </w:p>
    <w:bookmarkEnd w:id="25"/>
    <w:bookmarkStart w:id="26" w:name="the-midterm"/>
    <w:p>
      <w:pPr>
        <w:pStyle w:val="Heading2"/>
      </w:pPr>
      <w:r>
        <w:t xml:space="preserve">The midterm</w:t>
      </w:r>
    </w:p>
    <w:p>
      <w:pPr>
        <w:pStyle w:val="FirstParagraph"/>
      </w:pPr>
      <w:r>
        <w:t xml:space="preserve">In class, present the scored-and-decided pursuit sheet for your term opportunity: the pWin rubric with factor-by-factor evidence, the value estimate with two anchors, the composite, the threshold, and the call. The panel’s job: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Why is your pWin that high? Where does that value come from? Who owns the threshold?</w:t>
      </w:r>
      <w:r>
        <w:rPr>
          <w:i/>
          <w:iCs/>
        </w:rPr>
        <w:t xml:space="preserve">”</w:t>
      </w:r>
      <w:r>
        <w:t xml:space="preserve"> </w:t>
      </w:r>
      <w:r>
        <w:t xml:space="preserve">An honest number beats a hopeful one.</w:t>
      </w:r>
    </w:p>
    <w:bookmarkEnd w:id="26"/>
    <w:bookmarkStart w:id="27" w:name="the-final"/>
    <w:p>
      <w:pPr>
        <w:pStyle w:val="Heading2"/>
      </w:pPr>
      <w:r>
        <w:t xml:space="preserve">The final</w:t>
      </w:r>
    </w:p>
    <w:p>
      <w:pPr>
        <w:pStyle w:val="FirstParagraph"/>
      </w:pPr>
      <w:r>
        <w:t xml:space="preserve">The full price-to-win recommendation for your term opportunity: score, value, cost floor, competitive range, evaluation posture, recommended price, and the basis of estimate that supports it. Presented in 15 minutes and defended against a panel that includes a skeptical</w:t>
      </w:r>
      <w:r>
        <w:t xml:space="preserve"> </w:t>
      </w:r>
      <w:r>
        <w:t xml:space="preserve">“</w:t>
      </w:r>
      <w:r>
        <w:t xml:space="preserve">pricing authority</w:t>
      </w:r>
      <w:r>
        <w:t xml:space="preserve">”</w:t>
      </w:r>
      <w:r>
        <w:t xml:space="preserve"> </w:t>
      </w:r>
      <w:r>
        <w:t xml:space="preserve">role whose only job is to find the element without a source.</w:t>
      </w:r>
    </w:p>
    <w:bookmarkEnd w:id="27"/>
    <w:bookmarkStart w:id="28" w:name="policies-worth-stating-plainly"/>
    <w:p>
      <w:pPr>
        <w:pStyle w:val="Heading2"/>
      </w:pPr>
      <w:r>
        <w:t xml:space="preserve">Policies worth stating plainly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doctrine is the course.</w:t>
      </w:r>
      <w:r>
        <w:t xml:space="preserve"> </w:t>
      </w:r>
      <w:r>
        <w:t xml:space="preserve">Every assignment tests the concept, never a tool. If an assignment ever seems to require knowledge of a specific product or system, that is a bug in the assignment — flag it.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documents, safe exercises.</w:t>
      </w:r>
      <w:r>
        <w:t xml:space="preserve"> </w:t>
      </w:r>
      <w:r>
        <w:t xml:space="preserve">We price real, published,</w:t>
      </w:r>
      <w:r>
        <w:t xml:space="preserve"> </w:t>
      </w:r>
      <w:r>
        <w:rPr>
          <w:i/>
          <w:iCs/>
        </w:rPr>
        <w:t xml:space="preserve">closed</w:t>
      </w:r>
      <w:r>
        <w:t xml:space="preserve"> </w:t>
      </w:r>
      <w:r>
        <w:t xml:space="preserve">solicitations. You never submit anything live in this course.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The pipeline has deadlines; so does the course. The one professional grace: an honest early warning beats a silent late submission.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Academic integrity.</w:t>
      </w:r>
      <w:r>
        <w:t xml:space="preserve"> </w:t>
      </w:r>
      <w:r>
        <w:t xml:space="preserve">The federal market runs on trust in a fair, documented process. This course models that. Do not fabricate cost evidence; a fake BOE is the pricing-world equivalent of plagiarism.</w:t>
      </w:r>
    </w:p>
    <w:bookmarkEnd w:id="28"/>
    <w:bookmarkStart w:id="29" w:name="the-course-in-one-sentence"/>
    <w:p>
      <w:pPr>
        <w:pStyle w:val="Heading2"/>
      </w:pPr>
      <w:r>
        <w:t xml:space="preserve">The course in one sentence</w:t>
      </w:r>
    </w:p>
    <w:p>
      <w:pPr>
        <w:pStyle w:val="FirstParagraph"/>
      </w:pPr>
      <w:r>
        <w:rPr>
          <w:b/>
          <w:bCs/>
        </w:rPr>
        <w:t xml:space="preserve">By Week 14 you will be able to look at any pursuit and answer the two questions that decide its fate — how likely are we to win, and what is it worth if we do — and you will have turned</w:t>
      </w:r>
      <w:r>
        <w:rPr>
          <w:b/>
          <w:bCs/>
        </w:rP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this feels good</w:t>
      </w:r>
      <w:r>
        <w:rPr>
          <w:b/>
          <w:bCs/>
        </w:rPr>
        <w:t xml:space="preserve">”</w:t>
      </w:r>
      <w:r>
        <w:rPr>
          <w:b/>
          <w:bCs/>
        </w:rPr>
        <w:t xml:space="preserve"> </w:t>
      </w:r>
      <w:r>
        <w:rPr>
          <w:b/>
          <w:bCs/>
        </w:rPr>
        <w:t xml:space="preserve">into arithmetic, and arithmetic into a price you can defend.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39671A70-56DF-4CDB-AF57-C81F63EB6382}"/>
</file>

<file path=customXml/itemProps2.xml><?xml version="1.0" encoding="utf-8"?>
<ds:datastoreItem xmlns:ds="http://schemas.openxmlformats.org/officeDocument/2006/customXml" ds:itemID="{24159AFF-D673-40B7-AA85-24B2BB0926A7}"/>
</file>

<file path=customXml/itemProps3.xml><?xml version="1.0" encoding="utf-8"?>
<ds:datastoreItem xmlns:ds="http://schemas.openxmlformats.org/officeDocument/2006/customXml" ds:itemID="{C1DB28C7-06A8-44F9-B668-8668F00BB04B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2026-08-05T12:04:02Z</dcterms:created>
  <dcterms:modified xsi:type="dcterms:W3CDTF">2026-08-05T12:04:02Z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