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9" w:name="dl-102-reading-the-solicitation"/>
    <w:p>
      <w:pPr>
        <w:pStyle w:val="Heading1"/>
      </w:pPr>
      <w:r>
        <w:t xml:space="preserve">DL 102 — Reading the Solicitation</w:t>
      </w:r>
    </w:p>
    <w:p>
      <w:pPr>
        <w:pStyle w:val="FirstParagraph"/>
      </w:pPr>
      <w:r>
        <w:rPr>
          <w:i/>
          <w:iCs/>
        </w:rPr>
        <w:t xml:space="preserve">The document course. The most transferable skill in the discipline: read a solicitation like a professional — compliance pass first, strategy pass second, and the evaluation criteria as the center of gravity.</w:t>
      </w:r>
    </w:p>
    <w:p>
      <w:pPr>
        <w:pStyle w:val="BodyText"/>
      </w:pPr>
      <w:r>
        <w:rPr>
          <w:b/>
          <w:bCs/>
        </w:rPr>
        <w:t xml:space="preserve">Course number:</w:t>
      </w:r>
      <w:r>
        <w:t xml:space="preserve"> </w:t>
      </w:r>
      <w:r>
        <w:t xml:space="preserve">DL 102 ·</w:t>
      </w:r>
      <w:r>
        <w:t xml:space="preserve"> </w:t>
      </w:r>
      <w:r>
        <w:rPr>
          <w:b/>
          <w:bCs/>
        </w:rPr>
        <w:t xml:space="preserve">Credit hours:</w:t>
      </w:r>
      <w:r>
        <w:t xml:space="preserve"> </w:t>
      </w:r>
      <w:r>
        <w:t xml:space="preserve">3 ·</w:t>
      </w:r>
      <w:r>
        <w:t xml:space="preserve"> </w:t>
      </w:r>
      <w:r>
        <w:rPr>
          <w:b/>
          <w:bCs/>
        </w:rPr>
        <w:t xml:space="preserve">Term:</w:t>
      </w:r>
      <w:r>
        <w:t xml:space="preserve"> </w:t>
      </w:r>
      <w:r>
        <w:t xml:space="preserve">14 weeks, one 75-minute session per week (plus independent reading and assignments) ·</w:t>
      </w:r>
      <w:r>
        <w:t xml:space="preserve"> </w:t>
      </w:r>
      <w:r>
        <w:rPr>
          <w:b/>
          <w:bCs/>
        </w:rPr>
        <w:t xml:space="preserve">Audience:</w:t>
      </w:r>
      <w:r>
        <w:t xml:space="preserve"> </w:t>
      </w:r>
      <w:r>
        <w:t xml:space="preserve">first-year undergraduates ·</w:t>
      </w:r>
      <w:r>
        <w:t xml:space="preserve"> </w:t>
      </w:r>
      <w:r>
        <w:rPr>
          <w:b/>
          <w:bCs/>
        </w:rPr>
        <w:t xml:space="preserve">Prerequisites:</w:t>
      </w:r>
      <w:r>
        <w:t xml:space="preserve"> </w:t>
      </w:r>
      <w:r>
        <w:t xml:space="preserve">DL 101 (or co-requisite) ·</w:t>
      </w:r>
      <w:r>
        <w:t xml:space="preserve"> </w:t>
      </w:r>
      <w:r>
        <w:rPr>
          <w:b/>
          <w:bCs/>
        </w:rPr>
        <w:t xml:space="preserve">Tier:</w:t>
      </w:r>
      <w:r>
        <w:t xml:space="preserve"> </w:t>
      </w:r>
      <w:r>
        <w:t xml:space="preserve">introductory (Year 1, Spring) ·</w:t>
      </w:r>
      <w:r>
        <w:t xml:space="preserve"> </w:t>
      </w:r>
      <w:r>
        <w:rPr>
          <w:b/>
          <w:bCs/>
        </w:rPr>
        <w:t xml:space="preserve">Texts:</w:t>
      </w:r>
      <w:r>
        <w:t xml:space="preserve"> </w:t>
      </w:r>
      <w:r>
        <w:t xml:space="preserve">this repository — the doctrine and the RFP/NOFO literacy maps ·</w:t>
      </w:r>
      <w:r>
        <w:t xml:space="preserve"> </w:t>
      </w:r>
      <w:r>
        <w:rPr>
          <w:b/>
          <w:bCs/>
        </w:rPr>
        <w:t xml:space="preserve">Tools:</w:t>
      </w:r>
      <w:r>
        <w:t xml:space="preserve"> </w:t>
      </w:r>
      <w:r>
        <w:t xml:space="preserve">none required beyond a web browser for SAM.gov and Grants.gov. Stack-agnostic by design (doctrine/08).</w:t>
      </w:r>
    </w:p>
    <w:bookmarkStart w:id="20" w:name="doctrine-spine"/>
    <w:p>
      <w:pPr>
        <w:pStyle w:val="Heading2"/>
      </w:pPr>
      <w:r>
        <w:t xml:space="preserve">Doctrine spine</w:t>
      </w:r>
    </w:p>
    <w:p>
      <w:pPr>
        <w:pStyle w:val="FirstParagraph"/>
      </w:pPr>
      <w:r>
        <w:rPr>
          <w:rStyle w:val="VerbatimChar"/>
        </w:rPr>
        <w:t xml:space="preserve">doctrine/02</w:t>
      </w:r>
      <w:r>
        <w:t xml:space="preserve"> </w:t>
      </w:r>
      <w:r>
        <w:t xml:space="preserve">(RFPs, NOFOs, and solicitations) is the spine, supported by</w:t>
      </w:r>
      <w:r>
        <w:t xml:space="preserve"> </w:t>
      </w:r>
      <w:r>
        <w:rPr>
          <w:rStyle w:val="VerbatimChar"/>
        </w:rPr>
        <w:t xml:space="preserve">doctrine/01</w:t>
      </w:r>
      <w:r>
        <w:t xml:space="preserve"> </w:t>
      </w:r>
      <w:r>
        <w:t xml:space="preserve">(contract vs. grant) and</w:t>
      </w:r>
      <w:r>
        <w:t xml:space="preserve"> </w:t>
      </w:r>
      <w:r>
        <w:rPr>
          <w:rStyle w:val="VerbatimChar"/>
        </w:rPr>
        <w:t xml:space="preserve">doctrine/05</w:t>
      </w:r>
      <w:r>
        <w:t xml:space="preserve"> </w:t>
      </w:r>
      <w:r>
        <w:t xml:space="preserve">(scoring, for the bid/no-bid reading). The reading maps in</w:t>
      </w:r>
      <w:r>
        <w:t xml:space="preserve"> </w:t>
      </w:r>
      <w:r>
        <w:rPr>
          <w:rStyle w:val="VerbatimChar"/>
        </w:rPr>
        <w:t xml:space="preserve">literacy/how-to-read-an-rfp.md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literacy/how-to-read-a-nofo.md</w:t>
      </w:r>
      <w:r>
        <w:t xml:space="preserve"> </w:t>
      </w:r>
      <w:r>
        <w:t xml:space="preserve">are the reference layer; the glossary and acronym decoder are open beside you the whole term.</w:t>
      </w:r>
    </w:p>
    <w:bookmarkEnd w:id="20"/>
    <w:bookmarkStart w:id="21" w:name="where-this-course-sits-in-the-program"/>
    <w:p>
      <w:pPr>
        <w:pStyle w:val="Heading2"/>
      </w:pPr>
      <w:r>
        <w:t xml:space="preserve">Where this course sits in the program</w:t>
      </w:r>
    </w:p>
    <w:p>
      <w:pPr>
        <w:pStyle w:val="FirstParagraph"/>
      </w:pPr>
      <w:r>
        <w:t xml:space="preserve">This is the</w:t>
      </w:r>
      <w:r>
        <w:t xml:space="preserve"> </w:t>
      </w:r>
      <w:r>
        <w:rPr>
          <w:b/>
          <w:bCs/>
        </w:rPr>
        <w:t xml:space="preserve">document</w:t>
      </w:r>
      <w:r>
        <w:t xml:space="preserve"> </w:t>
      </w:r>
      <w:r>
        <w:t xml:space="preserve">course. DL 101 taught you the world the documents live in; DL 102 teaches you to read the documents themselves. Every later course — the capture pipeline, pricing, the electives, the capstone — assumes you can open a real RFP or NOFO and find the six questions, the Section L rules, the Section M weights, and the deadline without help.</w:t>
      </w:r>
    </w:p>
    <w:p>
      <w:pPr>
        <w:pStyle w:val="BodyText"/>
      </w:pPr>
      <w:r>
        <w:rPr>
          <w:b/>
          <w:bCs/>
        </w:rPr>
        <w:t xml:space="preserve">Ladder:</w:t>
      </w:r>
      <w:r>
        <w:t xml:space="preserve"> </w:t>
      </w:r>
      <w:r>
        <w:t xml:space="preserve">DL 101 (or co-req). Serves as the prerequisite for DL 210 and DL 220, and as a soft prerequisite for DL 301 and DL 302.</w:t>
      </w:r>
    </w:p>
    <w:bookmarkEnd w:id="21"/>
    <w:bookmarkStart w:id="22" w:name="learning-outcomes"/>
    <w:p>
      <w:pPr>
        <w:pStyle w:val="Heading2"/>
      </w:pPr>
      <w:r>
        <w:t xml:space="preserve">Learning outcomes</w:t>
      </w:r>
    </w:p>
    <w:p>
      <w:pPr>
        <w:pStyle w:val="FirstParagraph"/>
      </w:pPr>
      <w:r>
        <w:t xml:space="preserve">By the end of this course, a student can:</w:t>
      </w:r>
    </w:p>
    <w:p>
      <w:pPr>
        <w:pStyle w:val="Compact"/>
        <w:numPr>
          <w:ilvl w:val="0"/>
          <w:numId w:val="1001"/>
        </w:numPr>
      </w:pPr>
      <w:r>
        <w:t xml:space="preserve">Explain why the solicitation exists: the instrument of fairness in public spending.</w:t>
      </w:r>
    </w:p>
    <w:p>
      <w:pPr>
        <w:pStyle w:val="Compact"/>
        <w:numPr>
          <w:ilvl w:val="0"/>
          <w:numId w:val="1001"/>
        </w:numPr>
      </w:pPr>
      <w:r>
        <w:t xml:space="preserve">Name the solicitation shapes (RFI, RFQ, RFP, NOFO, IDIQ/task order) and read each one as a</w:t>
      </w:r>
      <w:r>
        <w:t xml:space="preserve"> </w:t>
      </w:r>
      <w:r>
        <w:rPr>
          <w:i/>
          <w:iCs/>
        </w:rPr>
        <w:t xml:space="preserve">posture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Locate the six questions every solicitation answers, in any agency’s format.</w:t>
      </w:r>
    </w:p>
    <w:p>
      <w:pPr>
        <w:pStyle w:val="Compact"/>
        <w:numPr>
          <w:ilvl w:val="0"/>
          <w:numId w:val="1001"/>
        </w:numPr>
      </w:pPr>
      <w:r>
        <w:t xml:space="preserve">Map the uniform contract format (Sections A–M) and explain what Section L and Section M each do.</w:t>
      </w:r>
    </w:p>
    <w:p>
      <w:pPr>
        <w:pStyle w:val="Compact"/>
        <w:numPr>
          <w:ilvl w:val="0"/>
          <w:numId w:val="1001"/>
        </w:numPr>
      </w:pPr>
      <w:r>
        <w:t xml:space="preserve">Build a compliance matrix from a real RFP: every</w:t>
      </w:r>
      <w:r>
        <w:t xml:space="preserve"> </w:t>
      </w:r>
      <w:r>
        <w:t xml:space="preserve">“</w:t>
      </w:r>
      <w:r>
        <w:t xml:space="preserve">shall,</w:t>
      </w:r>
      <w:r>
        <w:t xml:space="preserve">”</w:t>
      </w:r>
      <w:r>
        <w:t xml:space="preserve"> </w:t>
      </w:r>
      <w:r>
        <w:t xml:space="preserve">with its page, mapped to where a response would satisfy it.</w:t>
      </w:r>
    </w:p>
    <w:p>
      <w:pPr>
        <w:pStyle w:val="Compact"/>
        <w:numPr>
          <w:ilvl w:val="0"/>
          <w:numId w:val="1001"/>
        </w:numPr>
      </w:pPr>
      <w:r>
        <w:t xml:space="preserve">Read for strategy: what the agency actually cares about, read from the evaluation weights and the intent behind the</w:t>
      </w:r>
      <w:r>
        <w:t xml:space="preserve"> </w:t>
      </w:r>
      <w:r>
        <w:t xml:space="preserve">“</w:t>
      </w:r>
      <w:r>
        <w:t xml:space="preserve">shall</w:t>
      </w:r>
      <w:r>
        <w:t xml:space="preserve">”</w:t>
      </w:r>
      <w:r>
        <w:t xml:space="preserve">s.</w:t>
      </w:r>
    </w:p>
    <w:p>
      <w:pPr>
        <w:pStyle w:val="Compact"/>
        <w:numPr>
          <w:ilvl w:val="0"/>
          <w:numId w:val="1001"/>
        </w:numPr>
      </w:pPr>
      <w:r>
        <w:t xml:space="preserve">Apply the same skills to a NOFO: program purpose, eligibility, review criteria, budget, deadlines.</w:t>
      </w:r>
    </w:p>
    <w:p>
      <w:pPr>
        <w:pStyle w:val="Compact"/>
        <w:numPr>
          <w:ilvl w:val="0"/>
          <w:numId w:val="1001"/>
        </w:numPr>
      </w:pPr>
      <w:r>
        <w:t xml:space="preserve">Manage the two-deadline trap and the invisible third deadline (your own internal review).</w:t>
      </w:r>
    </w:p>
    <w:p>
      <w:pPr>
        <w:pStyle w:val="Compact"/>
        <w:numPr>
          <w:ilvl w:val="0"/>
          <w:numId w:val="1001"/>
        </w:numPr>
      </w:pPr>
      <w:r>
        <w:t xml:space="preserve">Make a defensible bid/no-bid call from a 15-minute scan of a document.</w:t>
      </w:r>
    </w:p>
    <w:bookmarkEnd w:id="22"/>
    <w:bookmarkStart w:id="23" w:name="how-the-course-works"/>
    <w:p>
      <w:pPr>
        <w:pStyle w:val="Heading2"/>
      </w:pPr>
      <w:r>
        <w:t xml:space="preserve">How the course works</w:t>
      </w:r>
    </w:p>
    <w:p>
      <w:pPr>
        <w:pStyle w:val="FirstParagraph"/>
      </w:pPr>
      <w:r>
        <w:t xml:space="preserve">The course moves in three movements: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Weeks 1–6 — The RFP.</w:t>
      </w:r>
      <w:r>
        <w:t xml:space="preserve"> </w:t>
      </w:r>
      <w:r>
        <w:t xml:space="preserve">The six questions, the A–M anatomy, Section L as the rules of the game, Section M as the rubric you are graded against.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Week 7 — Midterm.</w:t>
      </w:r>
      <w:r>
        <w:t xml:space="preserve"> </w:t>
      </w:r>
      <w:r>
        <w:t xml:space="preserve">Break down a real RFP in class.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Weeks 8–13 — The NOFO, the matrix, and the call.</w:t>
      </w:r>
      <w:r>
        <w:t xml:space="preserve"> </w:t>
      </w:r>
      <w:r>
        <w:t xml:space="preserve">The grants sibling, the compliance matrix, the strategy reading, deadlines and amendments, and the 15-minute scan to a bid/no-bid.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Week 14 — Final.</w:t>
      </w:r>
      <w:r>
        <w:t xml:space="preserve"> </w:t>
      </w:r>
      <w:r>
        <w:t xml:space="preserve">A solicitation reading portfolio built on one real RFP and one real NOFO.</w:t>
      </w:r>
    </w:p>
    <w:p>
      <w:pPr>
        <w:pStyle w:val="FirstParagraph"/>
      </w:pPr>
      <w:r>
        <w:t xml:space="preserve">Every week you read a real document. By the end you will have read the same kind of documents a professional capture team reads — and built the tools (compliance matrix, strategy reading, bid/no-bid sheet) they build.</w:t>
      </w:r>
    </w:p>
    <w:bookmarkEnd w:id="23"/>
    <w:bookmarkStart w:id="24" w:name="weekly-schedule"/>
    <w:p>
      <w:pPr>
        <w:pStyle w:val="Heading2"/>
      </w:pPr>
      <w:r>
        <w:t xml:space="preserve">Weekly schedule</w:t>
      </w:r>
    </w:p>
    <w:tbl>
      <w:tblPr>
        <w:tblStyle w:val="Table"/>
        <w:tblW w:type="pct" w:w="5000"/>
        <w:jc w:val="left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Week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In-session (75 min)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Reading (doctrine / literacy)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Assignment due next week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solicitation as a conversation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Why the document exists: fairness, published rules, committed evaluation. What a solicitation is and is not.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doctrine/02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One-page</w:t>
            </w:r>
            <w:r>
              <w:t xml:space="preserve"> </w:t>
            </w:r>
            <w:r>
              <w:t xml:space="preserve">“</w:t>
            </w:r>
            <w:r>
              <w:t xml:space="preserve">what is a solicitation</w:t>
            </w:r>
            <w:r>
              <w:t xml:space="preserve">”</w:t>
            </w:r>
            <w:r>
              <w:t xml:space="preserve"> </w:t>
            </w:r>
            <w:r>
              <w:t xml:space="preserve">explainer in your own words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Solicitation shapes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RFI / RFQ / RFP / NOFO / IDIQ-task order. Each shape as a posture: shopping, pricing, full pursuit, grant pursuit, standing doorway.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doctrine/02; literacy/glossary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 one-page shape chart: five shapes, what each signals, when each appears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six questions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What is being bought? Who is eligible? How will we be judged? When? How must we respond? Where must it go?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doctrine/02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Find all six answers in one real RFP (cite the sections)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uniform contract format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Sections A–M. The two sections to know by heart: L (instructions) and M (evaluation factors).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literacy/how-to-read-an-rfp.md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 one-page A–M map of a real RFP — fill in what each section holds for that document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Section L — the rules of the game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Volumes, page limits, format, required content, submission mechanics. The rule: comply literally.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literacy/how-to-read-an-rfp.md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 one-page Section L brief: every format rule in the RFP, in checklist form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Section M — the evaluation plan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factors, the weights, the adjectives for</w:t>
            </w:r>
            <w:r>
              <w:t xml:space="preserve"> </w:t>
            </w:r>
            <w:r>
              <w:t xml:space="preserve">“</w:t>
            </w:r>
            <w:r>
              <w:t xml:space="preserve">excellent.</w:t>
            </w:r>
            <w:r>
              <w:t xml:space="preserve">”</w:t>
            </w:r>
            <w:r>
              <w:t xml:space="preserve"> </w:t>
            </w:r>
            <w:r>
              <w:t xml:space="preserve">The proposal is written to this rubric.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literacy/how-to-read-an-rfp.md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 one-page Section M brief: the factors, weights, and what</w:t>
            </w:r>
            <w:r>
              <w:t xml:space="preserve"> </w:t>
            </w:r>
            <w:r>
              <w:t xml:space="preserve">“</w:t>
            </w:r>
            <w:r>
              <w:t xml:space="preserve">excellent</w:t>
            </w:r>
            <w:r>
              <w:t xml:space="preserve">”</w:t>
            </w:r>
            <w:r>
              <w:t xml:space="preserve"> </w:t>
            </w:r>
            <w:r>
              <w:t xml:space="preserve">looks like per the agency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7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Midterm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 class: break down a real RFP — six questions, Section L rules, Section M weights, compliance vs. strategy reading.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(review week)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Midterm submission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NOFO — the grants sibling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Same game, different rulebook. RFP buys your services; NOFO funds your mission.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literacy/how-to-read-a-nofo.md; doctrine/01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 one-page</w:t>
            </w:r>
            <w:r>
              <w:t xml:space="preserve"> </w:t>
            </w:r>
            <w:r>
              <w:t xml:space="preserve">“</w:t>
            </w:r>
            <w:r>
              <w:t xml:space="preserve">RFP vs. NOFO</w:t>
            </w:r>
            <w:r>
              <w:t xml:space="preserve">”</w:t>
            </w:r>
            <w:r>
              <w:t xml:space="preserve"> </w:t>
            </w:r>
            <w:r>
              <w:t xml:space="preserve">comparison table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NOFO review criteria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center of gravity of the grants world. Write to the criteria; mirror the scoring.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literacy/how-to-read-a-nofo.md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 one-page review-criteria brief for a real NOFO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compliance matrix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Every</w:t>
            </w:r>
            <w:r>
              <w:t xml:space="preserve"> </w:t>
            </w:r>
            <w:r>
              <w:t xml:space="preserve">“</w:t>
            </w:r>
            <w:r>
              <w:t xml:space="preserve">shall,</w:t>
            </w:r>
            <w:r>
              <w:t xml:space="preserve">”</w:t>
            </w:r>
            <w:r>
              <w:t xml:space="preserve"> </w:t>
            </w:r>
            <w:r>
              <w:t xml:space="preserve">every page limit, every certification — tracked to where the response satisfies it. The backbone of the review gates.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literacy/how-to-read-an-rfp.md; doctrine/02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Start your course compliance matrix: every</w:t>
            </w:r>
            <w:r>
              <w:t xml:space="preserve"> </w:t>
            </w:r>
            <w:r>
              <w:t xml:space="preserve">“</w:t>
            </w:r>
            <w:r>
              <w:t xml:space="preserve">shall</w:t>
            </w:r>
            <w:r>
              <w:t xml:space="preserve">”</w:t>
            </w:r>
            <w:r>
              <w:t xml:space="preserve"> </w:t>
            </w:r>
            <w:r>
              <w:t xml:space="preserve">you can find in your RFP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11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strategy reading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What does the evaluator actually care about? The intent behind the</w:t>
            </w:r>
            <w:r>
              <w:t xml:space="preserve"> </w:t>
            </w:r>
            <w:r>
              <w:t xml:space="preserve">“</w:t>
            </w:r>
            <w:r>
              <w:t xml:space="preserve">shall</w:t>
            </w:r>
            <w:r>
              <w:t xml:space="preserve">”</w:t>
            </w:r>
            <w:r>
              <w:t xml:space="preserve">s. Compliance is the floor; strategy is the win.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literacy/how-to-read-an-rfp.md; doctrine/02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 one-page strategy reading of your RFP: the story the proposal must tell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12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Deadlines, amendments, the two-deadline trap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questions deadline, the submission deadline, and the invisible third deadline: your internal review. Amendments as living documents.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literacy/how-to-read-an-rfp.md; doctrine/02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 one-page deadline-and-amendment log for your RFP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13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15-minute scan to bid/no-bid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professional’s first pass: scope, deadline, evaluation, eligibility → a defensible recommendation.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doctrine/05; literacy/how-to-read-an-rfp.md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 scored bid/no-bid sheet for your RFP (pWin factors, value, recommendation)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14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Final: solicitation reading portfolio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Present your portfolio: A–M map, Section L brief, Section M brief, compliance matrix, strategy reading, bid/no-bid sheet. Panel Q&amp;A.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(review week)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Final portfolio submission</w:t>
            </w:r>
          </w:p>
        </w:tc>
      </w:tr>
    </w:tbl>
    <w:bookmarkEnd w:id="24"/>
    <w:bookmarkStart w:id="25" w:name="assessment-summary"/>
    <w:p>
      <w:pPr>
        <w:pStyle w:val="Heading2"/>
      </w:pPr>
      <w:r>
        <w:t xml:space="preserve">Assessment summary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Weekly assignments</w:t>
      </w:r>
      <w:r>
        <w:t xml:space="preserve"> </w:t>
      </w:r>
      <w:r>
        <w:t xml:space="preserve">— 30% (each a concrete artifact: a chart, a brief, a matrix).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Midterm</w:t>
      </w:r>
      <w:r>
        <w:t xml:space="preserve"> </w:t>
      </w:r>
      <w:r>
        <w:t xml:space="preserve">— 25% (breaking down a real RFP in class).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Final solicitation reading portfolio</w:t>
      </w:r>
      <w:r>
        <w:t xml:space="preserve"> </w:t>
      </w:r>
      <w:r>
        <w:t xml:space="preserve">— 30% (the artifacts from Weeks 4–13, presented and defended).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Participation and peer review</w:t>
      </w:r>
      <w:r>
        <w:t xml:space="preserve"> </w:t>
      </w:r>
      <w:r>
        <w:t xml:space="preserve">— 15%.</w:t>
      </w:r>
    </w:p>
    <w:p>
      <w:pPr>
        <w:pStyle w:val="FirstParagraph"/>
      </w:pPr>
      <w:r>
        <w:t xml:space="preserve">Rubric per</w:t>
      </w:r>
      <w:r>
        <w:t xml:space="preserve"> </w:t>
      </w:r>
      <w:r>
        <w:rPr>
          <w:rStyle w:val="VerbatimChar"/>
        </w:rPr>
        <w:t xml:space="preserve">course/assessments-and-rubric.md</w:t>
      </w:r>
      <w:r>
        <w:t xml:space="preserve">: the 4-point scale on correctness, completeness, doctrine use, and clarity.</w:t>
      </w:r>
    </w:p>
    <w:bookmarkEnd w:id="25"/>
    <w:bookmarkStart w:id="26" w:name="the-midterm"/>
    <w:p>
      <w:pPr>
        <w:pStyle w:val="Heading2"/>
      </w:pPr>
      <w:r>
        <w:t xml:space="preserve">The midterm</w:t>
      </w:r>
    </w:p>
    <w:p>
      <w:pPr>
        <w:pStyle w:val="FirstParagraph"/>
      </w:pPr>
      <w:r>
        <w:t xml:space="preserve">In class, with a real (published, closed) RFP you have not seen before, produce in 75 minutes: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The six questions</w:t>
      </w:r>
      <w:r>
        <w:t xml:space="preserve"> </w:t>
      </w:r>
      <w:r>
        <w:t xml:space="preserve">— answered from the document, with sections cited.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Section L</w:t>
      </w:r>
      <w:r>
        <w:t xml:space="preserve"> </w:t>
      </w:r>
      <w:r>
        <w:t xml:space="preserve">— the format rules, page limits, and submission mechanics, in checklist form.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Section M</w:t>
      </w:r>
      <w:r>
        <w:t xml:space="preserve"> </w:t>
      </w:r>
      <w:r>
        <w:t xml:space="preserve">— the evaluation factors, weights, and what</w:t>
      </w:r>
      <w:r>
        <w:t xml:space="preserve"> </w:t>
      </w:r>
      <w:r>
        <w:t xml:space="preserve">“</w:t>
      </w:r>
      <w:r>
        <w:t xml:space="preserve">excellent</w:t>
      </w:r>
      <w:r>
        <w:t xml:space="preserve">”</w:t>
      </w:r>
      <w:r>
        <w:t xml:space="preserve"> </w:t>
      </w:r>
      <w:r>
        <w:t xml:space="preserve">looks like.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Compliance vs. strategy</w:t>
      </w:r>
      <w:r>
        <w:t xml:space="preserve"> </w:t>
      </w:r>
      <w:r>
        <w:t xml:space="preserve">— one paragraph on the compliance floor, and one on the strategic story the proposal must tell.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The call</w:t>
      </w:r>
      <w:r>
        <w:t xml:space="preserve"> </w:t>
      </w:r>
      <w:r>
        <w:t xml:space="preserve">— a one-paragraph bid/no-bid recommendation with the reasoning.</w:t>
      </w:r>
    </w:p>
    <w:p>
      <w:pPr>
        <w:pStyle w:val="FirstParagraph"/>
      </w:pPr>
      <w:r>
        <w:rPr>
          <w:b/>
          <w:bCs/>
        </w:rPr>
        <w:t xml:space="preserve">The trap being tested:</w:t>
      </w:r>
      <w:r>
        <w:t xml:space="preserve"> </w:t>
      </w:r>
      <w:r>
        <w:t xml:space="preserve">students who write a beautiful proposal-shaped essay instead of</w:t>
      </w:r>
      <w:r>
        <w:t xml:space="preserve"> </w:t>
      </w:r>
      <w:r>
        <w:rPr>
          <w:i/>
          <w:iCs/>
        </w:rPr>
        <w:t xml:space="preserve">reading the document as the agency wrote it</w:t>
      </w:r>
      <w:r>
        <w:t xml:space="preserve">. The midterm rewards reading, not writing.</w:t>
      </w:r>
    </w:p>
    <w:bookmarkEnd w:id="26"/>
    <w:bookmarkStart w:id="27" w:name="policies-worth-stating-plainly"/>
    <w:p>
      <w:pPr>
        <w:pStyle w:val="Heading2"/>
      </w:pPr>
      <w:r>
        <w:t xml:space="preserve">Policies worth stating plainly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The doctrine is the course.</w:t>
      </w:r>
      <w:r>
        <w:t xml:space="preserve"> </w:t>
      </w:r>
      <w:r>
        <w:t xml:space="preserve">Every assignment tests the concept, never a tool. If an assignment ever seems to require knowledge of a specific product or system, that is a bug in the assignment — flag it.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Real documents, safe exercises.</w:t>
      </w:r>
      <w:r>
        <w:t xml:space="preserve"> </w:t>
      </w:r>
      <w:r>
        <w:t xml:space="preserve">We read real RFPs and NOFOs, but always published, closed ones. You never submit anything live in this course.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Late work.</w:t>
      </w:r>
      <w:r>
        <w:t xml:space="preserve"> </w:t>
      </w:r>
      <w:r>
        <w:t xml:space="preserve">The pipeline has deadlines; so does the course. The one professional grace: an honest early warning beats a silent late submission.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Academic integrity.</w:t>
      </w:r>
      <w:r>
        <w:t xml:space="preserve"> </w:t>
      </w:r>
      <w:r>
        <w:t xml:space="preserve">The federal market runs on trust in a fair, documented process. This course models that. Cite your sources; do not fabricate evidence; be the person the market can trust.</w:t>
      </w:r>
    </w:p>
    <w:bookmarkEnd w:id="27"/>
    <w:bookmarkStart w:id="28" w:name="the-course-in-one-sentence"/>
    <w:p>
      <w:pPr>
        <w:pStyle w:val="Heading2"/>
      </w:pPr>
      <w:r>
        <w:t xml:space="preserve">The course in one sentence</w:t>
      </w:r>
    </w:p>
    <w:p>
      <w:pPr>
        <w:pStyle w:val="FirstParagraph"/>
      </w:pPr>
      <w:r>
        <w:rPr>
          <w:b/>
          <w:bCs/>
        </w:rPr>
        <w:t xml:space="preserve">By Week 14 you will have read a real RFP and a real NOFO the way a professional reads them — compliance matrix in hand, evaluation weights memorized, and a bid/no-bid call you can defend — and you will have discovered that the ability to read a solicitation is the most transferable skill in the entire discipline.</w:t>
      </w:r>
    </w:p>
    <w:bookmarkEnd w:id="28"/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3" Type="http://schemas.openxmlformats.org/officeDocument/2006/relationships/settings" Target="settings.xml"/><Relationship Id="rId7" Type="http://schemas.openxmlformats.org/officeDocument/2006/relationships/footnotes" Target="foot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11" Type="http://schemas.openxmlformats.org/officeDocument/2006/relationships/customXml" Target="../customXml/item3.xml"/><Relationship Id="rId5" Type="http://schemas.openxmlformats.org/officeDocument/2006/relationships/fontTable" Target="fontTable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8F89D4DBC9164EAAD077F6A65CDF0A" ma:contentTypeVersion="27" ma:contentTypeDescription="Create a new document." ma:contentTypeScope="" ma:versionID="7fef060ed95bf7b4c871fb5590ffba56">
  <xsd:schema xmlns:xsd="http://www.w3.org/2001/XMLSchema" xmlns:xs="http://www.w3.org/2001/XMLSchema" xmlns:p="http://schemas.microsoft.com/office/2006/metadata/properties" xmlns:ns2="8776939f-5711-4b7e-8619-ef1d6035b8e5" xmlns:ns3="94a181e0-1203-41b9-8ae0-2dcd1a719fc0" targetNamespace="http://schemas.microsoft.com/office/2006/metadata/properties" ma:root="true" ma:fieldsID="1ac12e87290b2432eb1ed38730e28d76" ns2:_="" ns3:_="">
    <xsd:import namespace="8776939f-5711-4b7e-8619-ef1d6035b8e5"/>
    <xsd:import namespace="94a181e0-1203-41b9-8ae0-2dcd1a719f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ynoy" minOccurs="0"/>
                <xsd:element ref="ns2:bb08d3d8-654e-405a-bd2f-eb04bd0c1711CountryOrRegion" minOccurs="0"/>
                <xsd:element ref="ns2:bb08d3d8-654e-405a-bd2f-eb04bd0c1711State" minOccurs="0"/>
                <xsd:element ref="ns2:bb08d3d8-654e-405a-bd2f-eb04bd0c1711City" minOccurs="0"/>
                <xsd:element ref="ns2:bb08d3d8-654e-405a-bd2f-eb04bd0c1711PostalCode" minOccurs="0"/>
                <xsd:element ref="ns2:bb08d3d8-654e-405a-bd2f-eb04bd0c1711Street" minOccurs="0"/>
                <xsd:element ref="ns2:bb08d3d8-654e-405a-bd2f-eb04bd0c1711GeoLoc" minOccurs="0"/>
                <xsd:element ref="ns2:bb08d3d8-654e-405a-bd2f-eb04bd0c1711DispNam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Budge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76939f-5711-4b7e-8619-ef1d6035b8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ynoy" ma:index="19" nillable="true" ma:displayName="Location" ma:internalName="ynoy">
      <xsd:simpleType>
        <xsd:restriction base="dms:Unknown"/>
      </xsd:simpleType>
    </xsd:element>
    <xsd:element name="bb08d3d8-654e-405a-bd2f-eb04bd0c1711CountryOrRegion" ma:index="20" nillable="true" ma:displayName="Location: Country/Region" ma:internalName="CountryOrRegion" ma:readOnly="true">
      <xsd:simpleType>
        <xsd:restriction base="dms:Text"/>
      </xsd:simpleType>
    </xsd:element>
    <xsd:element name="bb08d3d8-654e-405a-bd2f-eb04bd0c1711State" ma:index="21" nillable="true" ma:displayName="Location: State" ma:internalName="State" ma:readOnly="true">
      <xsd:simpleType>
        <xsd:restriction base="dms:Text"/>
      </xsd:simpleType>
    </xsd:element>
    <xsd:element name="bb08d3d8-654e-405a-bd2f-eb04bd0c1711City" ma:index="22" nillable="true" ma:displayName="Location: City" ma:internalName="City" ma:readOnly="true">
      <xsd:simpleType>
        <xsd:restriction base="dms:Text"/>
      </xsd:simpleType>
    </xsd:element>
    <xsd:element name="bb08d3d8-654e-405a-bd2f-eb04bd0c1711PostalCode" ma:index="23" nillable="true" ma:displayName="Location: Postal Code" ma:internalName="PostalCode" ma:readOnly="true">
      <xsd:simpleType>
        <xsd:restriction base="dms:Text"/>
      </xsd:simpleType>
    </xsd:element>
    <xsd:element name="bb08d3d8-654e-405a-bd2f-eb04bd0c1711Street" ma:index="24" nillable="true" ma:displayName="Location: Street" ma:internalName="Street" ma:readOnly="true">
      <xsd:simpleType>
        <xsd:restriction base="dms:Text"/>
      </xsd:simpleType>
    </xsd:element>
    <xsd:element name="bb08d3d8-654e-405a-bd2f-eb04bd0c1711GeoLoc" ma:index="25" nillable="true" ma:displayName="Location: Coordinates" ma:internalName="GeoLoc" ma:readOnly="true">
      <xsd:simpleType>
        <xsd:restriction base="dms:Unknown"/>
      </xsd:simpleType>
    </xsd:element>
    <xsd:element name="bb08d3d8-654e-405a-bd2f-eb04bd0c1711DispName" ma:index="26" nillable="true" ma:displayName="Location: Name" ma:internalName="DispName" ma:readOnly="true">
      <xsd:simpleType>
        <xsd:restriction base="dms:Text"/>
      </xsd:simpleType>
    </xsd:element>
    <xsd:element name="MediaLengthInSeconds" ma:index="2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9" nillable="true" ma:taxonomy="true" ma:internalName="lcf76f155ced4ddcb4097134ff3c332f" ma:taxonomyFieldName="MediaServiceImageTags" ma:displayName="Image Tags" ma:readOnly="false" ma:fieldId="{5cf76f15-5ced-4ddc-b409-7134ff3c332f}" ma:taxonomyMulti="true" ma:sspId="52472cf3-6fa7-482d-9f4f-6fbad59795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3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3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Budget" ma:index="33" nillable="true" ma:displayName="Budget" ma:format="Dropdown" ma:internalName="Budge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a181e0-1203-41b9-8ae0-2dcd1a719fc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0" nillable="true" ma:displayName="Taxonomy Catch All Column" ma:hidden="true" ma:list="{6bd40d36-168b-49d0-9c35-89ec5f868836}" ma:internalName="TaxCatchAll" ma:showField="CatchAllData" ma:web="94a181e0-1203-41b9-8ae0-2dcd1a719f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noy xmlns="8776939f-5711-4b7e-8619-ef1d6035b8e5" xsi:nil="true"/>
    <Budget xmlns="8776939f-5711-4b7e-8619-ef1d6035b8e5" xsi:nil="true"/>
    <lcf76f155ced4ddcb4097134ff3c332f xmlns="8776939f-5711-4b7e-8619-ef1d6035b8e5">
      <Terms xmlns="http://schemas.microsoft.com/office/infopath/2007/PartnerControls"/>
    </lcf76f155ced4ddcb4097134ff3c332f>
    <TaxCatchAll xmlns="94a181e0-1203-41b9-8ae0-2dcd1a719fc0" xsi:nil="true"/>
  </documentManagement>
</p:properties>
</file>

<file path=customXml/itemProps1.xml><?xml version="1.0" encoding="utf-8"?>
<ds:datastoreItem xmlns:ds="http://schemas.openxmlformats.org/officeDocument/2006/customXml" ds:itemID="{F17B99FC-5DEE-467F-9EAA-3EE8A72B0110}"/>
</file>

<file path=customXml/itemProps2.xml><?xml version="1.0" encoding="utf-8"?>
<ds:datastoreItem xmlns:ds="http://schemas.openxmlformats.org/officeDocument/2006/customXml" ds:itemID="{A909046F-DA08-4611-AB00-F99577FAEEA7}"/>
</file>

<file path=customXml/itemProps3.xml><?xml version="1.0" encoding="utf-8"?>
<ds:datastoreItem xmlns:ds="http://schemas.openxmlformats.org/officeDocument/2006/customXml" ds:itemID="{5B645109-2B9E-4B15-95A8-F899BA010AD8}"/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2026-08-05T12:04:02Z</dcterms:created>
  <dcterms:modified xsi:type="dcterms:W3CDTF">2026-08-05T12:04:02Z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0x010100D88F89D4DBC9164EAAD077F6A65CDF0A</vt:lpwstr>
  </property>
</Properties>
</file>