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58f87a98e7fb7d6267413578243a35efc2f0bd8"/>
    <w:p>
      <w:pPr>
        <w:pStyle w:val="Heading1"/>
      </w:pPr>
      <w:r>
        <w:t xml:space="preserve">GE 630 — Competitive &amp; Market Intelligence (14-week elective syllabus)</w:t>
      </w:r>
    </w:p>
    <w:p>
      <w:pPr>
        <w:pStyle w:val="FirstParagraph"/>
      </w:pPr>
      <w:r>
        <w:rPr>
          <w:i/>
          <w:iCs/>
        </w:rPr>
        <w:t xml:space="preserve">The federal market publishes its own intelligence: award records, contract forecasts, registrations, and debriefs. The firm that reads the public record well competes with its eyes open; the firm that does not competes blind. This elective teaches competitive and market intelligence as a discipline — where the information lives, how to collect it, how to analyze it, and where the hard line between intelligence and espionage sits.</w:t>
      </w:r>
    </w:p>
    <w:p>
      <w:pPr>
        <w:pStyle w:val="BodyText"/>
      </w:pPr>
      <w:r>
        <w:rPr>
          <w:b/>
          <w:bCs/>
        </w:rPr>
        <w:t xml:space="preserve">Course number:</w:t>
      </w:r>
      <w:r>
        <w:t xml:space="preserve"> </w:t>
      </w:r>
      <w:r>
        <w:t xml:space="preserve">GE 630 ·</w:t>
      </w:r>
      <w:r>
        <w:t xml:space="preserve"> </w:t>
      </w:r>
      <w:r>
        <w:rPr>
          <w:b/>
          <w:bCs/>
        </w:rPr>
        <w:t xml:space="preserve">Credits:</w:t>
      </w:r>
      <w:r>
        <w:t xml:space="preserve"> </w:t>
      </w:r>
      <w:r>
        <w:t xml:space="preserve">3 ·</w:t>
      </w:r>
      <w:r>
        <w:t xml:space="preserve"> </w:t>
      </w:r>
      <w:r>
        <w:rPr>
          <w:b/>
          <w:bCs/>
        </w:rPr>
        <w:t xml:space="preserve">Format:</w:t>
      </w:r>
      <w:r>
        <w:t xml:space="preserve"> </w:t>
      </w:r>
      <w:r>
        <w:t xml:space="preserve">14 weeks, one 75-minute session per week (plus reading and a weekly deliverable).</w:t>
      </w:r>
      <w:r>
        <w:t xml:space="preserve"> </w:t>
      </w:r>
      <w:r>
        <w:rPr>
          <w:b/>
          <w:bCs/>
        </w:rPr>
        <w:t xml:space="preserve">Audience:</w:t>
      </w:r>
      <w:r>
        <w:t xml:space="preserve"> </w:t>
      </w:r>
      <w:r>
        <w:t xml:space="preserve">Graduate students in the MS program; capture managers, business developers, and analysts.</w:t>
      </w:r>
      <w:r>
        <w:t xml:space="preserve"> </w:t>
      </w:r>
      <w:r>
        <w:rPr>
          <w:b/>
          <w:bCs/>
        </w:rPr>
        <w:t xml:space="preserve">Prerequisites:</w:t>
      </w:r>
      <w:r>
        <w:t xml:space="preserve"> </w:t>
      </w:r>
      <w:r>
        <w:t xml:space="preserve">GC 510 (competitive strategy) recommended — intelligence exists to feed strategy. GC 530 (research methods) recommended — analysis is measurement.</w:t>
      </w:r>
      <w:r>
        <w:t xml:space="preserve"> </w:t>
      </w:r>
      <w:r>
        <w:rPr>
          <w:b/>
          <w:bCs/>
        </w:rPr>
        <w:t xml:space="preserve">Texts:</w:t>
      </w:r>
      <w:r>
        <w:t xml:space="preserve"> </w:t>
      </w:r>
      <w:r>
        <w:t xml:space="preserve">the doctrine and literacy folders of this repository; the course reader on competitive intelligence and the public-record substrate. The course is stack-agnostic by design (doctrine/08).</w:t>
      </w:r>
    </w:p>
    <w:p>
      <w:r>
        <w:pict>
          <v:rect style="width:0;height:1.5pt" o:hralign="center" o:hrstd="t" o:hr="t"/>
        </w:pict>
      </w:r>
    </w:p>
    <w:bookmarkStart w:id="20" w:name="learning-outcomes"/>
    <w:p>
      <w:pPr>
        <w:pStyle w:val="Heading2"/>
      </w:pPr>
      <w:r>
        <w:t xml:space="preserve">Learning outcomes</w:t>
      </w:r>
    </w:p>
    <w:p>
      <w:pPr>
        <w:pStyle w:val="FirstParagraph"/>
      </w:pPr>
      <w:r>
        <w:t xml:space="preserve">By the end of this course, a student can:</w:t>
      </w:r>
    </w:p>
    <w:p>
      <w:pPr>
        <w:pStyle w:val="Compact"/>
        <w:numPr>
          <w:ilvl w:val="0"/>
          <w:numId w:val="1001"/>
        </w:numPr>
      </w:pPr>
      <w:r>
        <w:t xml:space="preserve">Define the ethical boundary of competitive intelligence: the public record is fair game; non-public, proprietary, or source-selection-sensitive information is off-limits — with no gray zone.</w:t>
      </w:r>
    </w:p>
    <w:p>
      <w:pPr>
        <w:pStyle w:val="Compact"/>
        <w:numPr>
          <w:ilvl w:val="0"/>
          <w:numId w:val="1001"/>
        </w:numPr>
      </w:pPr>
      <w:r>
        <w:t xml:space="preserve">Navigate the public-record substrate: award data, contract forecasts, registrations, published debriefs, and what each reveals.</w:t>
      </w:r>
    </w:p>
    <w:p>
      <w:pPr>
        <w:pStyle w:val="Compact"/>
        <w:numPr>
          <w:ilvl w:val="0"/>
          <w:numId w:val="1001"/>
        </w:numPr>
      </w:pPr>
      <w:r>
        <w:t xml:space="preserve">Segment and map a market: agencies, NAICS bands, vehicles, set-asides, and the competitors who live there.</w:t>
      </w:r>
    </w:p>
    <w:p>
      <w:pPr>
        <w:pStyle w:val="Compact"/>
        <w:numPr>
          <w:ilvl w:val="0"/>
          <w:numId w:val="1001"/>
        </w:numPr>
      </w:pPr>
      <w:r>
        <w:t xml:space="preserve">Identify and profile competitors from public records: who they are, what they win, where they are strong and where they are thin.</w:t>
      </w:r>
    </w:p>
    <w:p>
      <w:pPr>
        <w:pStyle w:val="Compact"/>
        <w:numPr>
          <w:ilvl w:val="0"/>
          <w:numId w:val="1001"/>
        </w:numPr>
      </w:pPr>
      <w:r>
        <w:t xml:space="preserve">Analyze incumbency: the holder, the source of its advantage, its churn signals, and its pressure score.</w:t>
      </w:r>
    </w:p>
    <w:p>
      <w:pPr>
        <w:pStyle w:val="Compact"/>
        <w:numPr>
          <w:ilvl w:val="0"/>
          <w:numId w:val="1001"/>
        </w:numPr>
      </w:pPr>
      <w:r>
        <w:t xml:space="preserve">Estimate the competitive price band from public evidence — and state the uncertainty around it.</w:t>
      </w:r>
    </w:p>
    <w:p>
      <w:pPr>
        <w:pStyle w:val="Compact"/>
        <w:numPr>
          <w:ilvl w:val="0"/>
          <w:numId w:val="1001"/>
        </w:numPr>
      </w:pPr>
      <w:r>
        <w:t xml:space="preserve">Read customer signals: engagement events, sources-sought responses, and the unstated preferences that become ghost themes.</w:t>
      </w:r>
    </w:p>
    <w:p>
      <w:pPr>
        <w:pStyle w:val="Compact"/>
        <w:numPr>
          <w:ilvl w:val="0"/>
          <w:numId w:val="1001"/>
        </w:numPr>
      </w:pPr>
      <w:r>
        <w:t xml:space="preserve">Convert intelligence into strategy: discriminators, displacement plays, and a competitive landscape that a capture team can act on.</w:t>
      </w:r>
    </w:p>
    <w:p>
      <w:pPr>
        <w:pStyle w:val="Compact"/>
        <w:numPr>
          <w:ilvl w:val="0"/>
          <w:numId w:val="1001"/>
        </w:numPr>
      </w:pPr>
      <w:r>
        <w:t xml:space="preserve">Produce the standard intelligence artifacts: a competitive landscape, an incumbent analysis, a price-band estimate, a market map.</w:t>
      </w:r>
    </w:p>
    <w:p>
      <w:pPr>
        <w:pStyle w:val="Compact"/>
        <w:numPr>
          <w:ilvl w:val="0"/>
          <w:numId w:val="1001"/>
        </w:numPr>
      </w:pPr>
      <w:r>
        <w:t xml:space="preserve">Run an intelligence program with the discipline of the public record — documented sources, dated findings, and an explicit</w:t>
      </w:r>
      <w:r>
        <w:t xml:space="preserve"> </w:t>
      </w:r>
      <w:r>
        <w:t xml:space="preserve">“</w:t>
      </w:r>
      <w:r>
        <w:t xml:space="preserve">what we do not know.</w:t>
      </w:r>
      <w:r>
        <w:t xml:space="preserve">”</w:t>
      </w:r>
    </w:p>
    <w:p>
      <w:r>
        <w:pict>
          <v:rect style="width:0;height:1.5pt" o:hralign="center" o:hrstd="t" o:hr="t"/>
        </w:pict>
      </w:r>
    </w:p>
    <w:bookmarkEnd w:id="20"/>
    <w:bookmarkStart w:id="21" w:name="weekly-schedule"/>
    <w:p>
      <w:pPr>
        <w:pStyle w:val="Heading2"/>
      </w:pPr>
      <w:r>
        <w:t xml:space="preserve">Weekly schedule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Week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In-session (75 min)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Reading / material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Assignment due next week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Intelligence vs. espionage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public-record boundary. What intelligence is (the discipline of the published), what it is not, and why the line is absolute.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doctrine/04; the course reader on CI ethics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Boundary memo: state your personal intelligence boundary — what you will collect, what you will not, and why.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public-record substrate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Award data, forecasts, registries, debriefs, bid-protest decisions. What each source reveals and its blind spots.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literacy/where-the-money-flows; the course reader on procurement data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Source map: for one market, list the public sources of intelligence and what each would tell you.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Market segmentation and mapping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Agencies, NAICS bands, vehicles, set-asides. Drawing the market so the competitive set becomes visible.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doctrine/01; the market-map canon at concept altitude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Market map: draw the structure of a chosen market segment with the players positioned.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Competitor identification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Who actually competes. Distinguishing the real field from the registered universe.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competitor-profiling canon at concept altitude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Competitor list: identify and rank the real competitors in your chosen segment.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Competitor profiling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Building a competitor file: wins, focus, strengths, weaknesses, and the pattern of its behavior.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competitor-profiling canon at concept altitude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Competitor profile: build a one-page profile for your top competitor.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Incumbent analysis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holder, the source of its advantage, its churn, and its vulnerability. Incumbency pressure from the facts.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incumbent-analysis and incumbency-pressure canon at concept altitude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Incumbent file: profile the holder in your segment and rate its pressure band.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Price intelligence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Estimating the competitor band from public evidence. What the record shows, what it does not, and how to be honest about the gap.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price-intelligence canon at concept altitude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Price-band memo: estimate the competitive price band for a case pursuit with sources and uncertainty stated.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Customer intelligence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Engagement, signals, and the ghost theme. Reading the customer from the public record and from legitimate engagement.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doctrine/02; the customer-intelligence canon at concept altitude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Customer-signal memo: collect three public signals about a customer and convert them into ghost-theme candidates.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Midterm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In-class: build the intelligence picture of a real market — map, competitors, incumbent, price band — in 75 minutes.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(review weeks 1–8)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Midterm submission.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intelligence collection plan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 plan that names the questions, the sources, the cadence, and the owner. Intelligence as a production system, not a scramble.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collection-plan canon at concept altitude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Collection plan: write the plan for your market — questions, sources, cadence, owners.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11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Analysis and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From raw facts to a defensible picture. Corroboration, the confidence label, and</w:t>
            </w:r>
            <w:r>
              <w:t xml:space="preserve"> </w:t>
            </w:r>
            <w:r>
              <w:t xml:space="preserve">“</w:t>
            </w:r>
            <w:r>
              <w:t xml:space="preserve">what we do not know</w:t>
            </w:r>
            <w:r>
              <w:t xml:space="preserve">”</w:t>
            </w:r>
            <w:r>
              <w:t xml:space="preserve"> </w:t>
            </w:r>
            <w:r>
              <w:t xml:space="preserve">as a first-class output.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doctrine/05; the course reader on analysis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Intelligence brief: synthesize your collected facts into a one-page brief with confidence labels.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12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intelligence artifact set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competitive landscape, the incumbent analysis, the price band, the market map. What each is for and who consumes it.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intelligence-artifact canon at concept altitude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Artifact set: produce the standard intelligence artifacts for your segment.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13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Intelligence into strategy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Converting the picture into discriminators, displacement plays, and a capture plan. Where intelligence ends and strategy begins.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doctrine/05; doctrine/07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Strategy memo: translate your intelligence into two discriminators and one displacement play.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14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intelligence discipline in one frame. Final defense of the market intelligence package.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(course synthesis)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Final package: a complete market-intelligence dossier for your segment, defended before a panel.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21"/>
    <w:bookmarkStart w:id="22" w:name="assessment-summary"/>
    <w:p>
      <w:pPr>
        <w:pStyle w:val="Heading2"/>
      </w:pPr>
      <w:r>
        <w:t xml:space="preserve">Assessment summary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Weekly deliverables — 40%.</w:t>
      </w:r>
      <w:r>
        <w:t xml:space="preserve"> </w:t>
      </w:r>
      <w:r>
        <w:t xml:space="preserve">A cumulative intelligence dossier built across the term.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Midterm — 20%.</w:t>
      </w:r>
      <w:r>
        <w:t xml:space="preserve"> </w:t>
      </w:r>
      <w:r>
        <w:t xml:space="preserve">In-class market-intelligence build.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Final intelligence package + defense — 30%.</w:t>
      </w:r>
      <w:r>
        <w:t xml:space="preserve"> </w:t>
      </w:r>
      <w:r>
        <w:t xml:space="preserve">A complete dossier, defended.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Participation and peer review — 10%.</w:t>
      </w:r>
    </w:p>
    <w:bookmarkEnd w:id="22"/>
    <w:bookmarkStart w:id="23" w:name="the-graduate-rubric"/>
    <w:p>
      <w:pPr>
        <w:pStyle w:val="Heading2"/>
      </w:pPr>
      <w:r>
        <w:t xml:space="preserve">The graduate rubric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Criterion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Excellent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Proficient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Developing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Boundary discipline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Every source is public record; non-public data never used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Mostly clean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Boundary unclear or crossed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Source rigor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Every finding cites a source and a date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Most findings sourced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Unsupported assertions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Analytic honesty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Confidence labels and</w:t>
            </w:r>
            <w:r>
              <w:t xml:space="preserve"> </w:t>
            </w:r>
            <w:r>
              <w:t xml:space="preserve">“</w:t>
            </w:r>
            <w:r>
              <w:t xml:space="preserve">what we do not know</w:t>
            </w:r>
            <w:r>
              <w:t xml:space="preserve">”</w:t>
            </w:r>
            <w:r>
              <w:t xml:space="preserve"> </w:t>
            </w:r>
            <w:r>
              <w:t xml:space="preserve">are explicit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Partial honesty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Overclaims certainty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Strategic use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Intelligence feeds a defensible strategy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Strategy loosely connected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Intelligence unused</w:t>
            </w:r>
          </w:p>
        </w:tc>
      </w:tr>
    </w:tbl>
    <w:bookmarkEnd w:id="23"/>
    <w:bookmarkStart w:id="24" w:name="policies"/>
    <w:p>
      <w:pPr>
        <w:pStyle w:val="Heading2"/>
      </w:pPr>
      <w:r>
        <w:t xml:space="preserve">Policies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The public-record line is absolute.</w:t>
      </w:r>
      <w:r>
        <w:t xml:space="preserve"> </w:t>
      </w:r>
      <w:r>
        <w:t xml:space="preserve">An assignment that proposes or uses non-public, proprietary, or source-selection-sensitive information fails outright and is reported per the host institution’s policy.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Real markets, safe exercises.</w:t>
      </w:r>
      <w:r>
        <w:t xml:space="preserve"> </w:t>
      </w:r>
      <w:r>
        <w:t xml:space="preserve">All analysis is on published markets and records.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Late work.</w:t>
      </w:r>
      <w:r>
        <w:t xml:space="preserve"> </w:t>
      </w:r>
      <w:r>
        <w:t xml:space="preserve">An honest early warning beats a silent late submission.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/>
          <w:iCs/>
        </w:rPr>
        <w:t xml:space="preserve">The market tells you everything it is allowed to tell you. The disciplined firm reads it; the undisciplined firm guesses.</w:t>
      </w:r>
    </w:p>
    <w:bookmarkEnd w:id="24"/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3" Type="http://schemas.openxmlformats.org/officeDocument/2006/relationships/settings" Target="settings.xml"/><Relationship Id="rId7" Type="http://schemas.openxmlformats.org/officeDocument/2006/relationships/footnotes" Target="foot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11" Type="http://schemas.openxmlformats.org/officeDocument/2006/relationships/customXml" Target="../customXml/item3.xml"/><Relationship Id="rId5" Type="http://schemas.openxmlformats.org/officeDocument/2006/relationships/fontTable" Target="fontTable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8F89D4DBC9164EAAD077F6A65CDF0A" ma:contentTypeVersion="27" ma:contentTypeDescription="Create a new document." ma:contentTypeScope="" ma:versionID="7fef060ed95bf7b4c871fb5590ffba56">
  <xsd:schema xmlns:xsd="http://www.w3.org/2001/XMLSchema" xmlns:xs="http://www.w3.org/2001/XMLSchema" xmlns:p="http://schemas.microsoft.com/office/2006/metadata/properties" xmlns:ns2="8776939f-5711-4b7e-8619-ef1d6035b8e5" xmlns:ns3="94a181e0-1203-41b9-8ae0-2dcd1a719fc0" targetNamespace="http://schemas.microsoft.com/office/2006/metadata/properties" ma:root="true" ma:fieldsID="1ac12e87290b2432eb1ed38730e28d76" ns2:_="" ns3:_="">
    <xsd:import namespace="8776939f-5711-4b7e-8619-ef1d6035b8e5"/>
    <xsd:import namespace="94a181e0-1203-41b9-8ae0-2dcd1a719f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ynoy" minOccurs="0"/>
                <xsd:element ref="ns2:bb08d3d8-654e-405a-bd2f-eb04bd0c1711CountryOrRegion" minOccurs="0"/>
                <xsd:element ref="ns2:bb08d3d8-654e-405a-bd2f-eb04bd0c1711State" minOccurs="0"/>
                <xsd:element ref="ns2:bb08d3d8-654e-405a-bd2f-eb04bd0c1711City" minOccurs="0"/>
                <xsd:element ref="ns2:bb08d3d8-654e-405a-bd2f-eb04bd0c1711PostalCode" minOccurs="0"/>
                <xsd:element ref="ns2:bb08d3d8-654e-405a-bd2f-eb04bd0c1711Street" minOccurs="0"/>
                <xsd:element ref="ns2:bb08d3d8-654e-405a-bd2f-eb04bd0c1711GeoLoc" minOccurs="0"/>
                <xsd:element ref="ns2:bb08d3d8-654e-405a-bd2f-eb04bd0c1711DispNam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Budge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76939f-5711-4b7e-8619-ef1d6035b8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ynoy" ma:index="19" nillable="true" ma:displayName="Location" ma:internalName="ynoy">
      <xsd:simpleType>
        <xsd:restriction base="dms:Unknown"/>
      </xsd:simpleType>
    </xsd:element>
    <xsd:element name="bb08d3d8-654e-405a-bd2f-eb04bd0c1711CountryOrRegion" ma:index="20" nillable="true" ma:displayName="Location: Country/Region" ma:internalName="CountryOrRegion" ma:readOnly="true">
      <xsd:simpleType>
        <xsd:restriction base="dms:Text"/>
      </xsd:simpleType>
    </xsd:element>
    <xsd:element name="bb08d3d8-654e-405a-bd2f-eb04bd0c1711State" ma:index="21" nillable="true" ma:displayName="Location: State" ma:internalName="State" ma:readOnly="true">
      <xsd:simpleType>
        <xsd:restriction base="dms:Text"/>
      </xsd:simpleType>
    </xsd:element>
    <xsd:element name="bb08d3d8-654e-405a-bd2f-eb04bd0c1711City" ma:index="22" nillable="true" ma:displayName="Location: City" ma:internalName="City" ma:readOnly="true">
      <xsd:simpleType>
        <xsd:restriction base="dms:Text"/>
      </xsd:simpleType>
    </xsd:element>
    <xsd:element name="bb08d3d8-654e-405a-bd2f-eb04bd0c1711PostalCode" ma:index="23" nillable="true" ma:displayName="Location: Postal Code" ma:internalName="PostalCode" ma:readOnly="true">
      <xsd:simpleType>
        <xsd:restriction base="dms:Text"/>
      </xsd:simpleType>
    </xsd:element>
    <xsd:element name="bb08d3d8-654e-405a-bd2f-eb04bd0c1711Street" ma:index="24" nillable="true" ma:displayName="Location: Street" ma:internalName="Street" ma:readOnly="true">
      <xsd:simpleType>
        <xsd:restriction base="dms:Text"/>
      </xsd:simpleType>
    </xsd:element>
    <xsd:element name="bb08d3d8-654e-405a-bd2f-eb04bd0c1711GeoLoc" ma:index="25" nillable="true" ma:displayName="Location: Coordinates" ma:internalName="GeoLoc" ma:readOnly="true">
      <xsd:simpleType>
        <xsd:restriction base="dms:Unknown"/>
      </xsd:simpleType>
    </xsd:element>
    <xsd:element name="bb08d3d8-654e-405a-bd2f-eb04bd0c1711DispName" ma:index="26" nillable="true" ma:displayName="Location: Name" ma:internalName="DispName" ma:readOnly="true">
      <xsd:simpleType>
        <xsd:restriction base="dms:Text"/>
      </xsd:simpleType>
    </xsd:element>
    <xsd:element name="MediaLengthInSeconds" ma:index="2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9" nillable="true" ma:taxonomy="true" ma:internalName="lcf76f155ced4ddcb4097134ff3c332f" ma:taxonomyFieldName="MediaServiceImageTags" ma:displayName="Image Tags" ma:readOnly="false" ma:fieldId="{5cf76f15-5ced-4ddc-b409-7134ff3c332f}" ma:taxonomyMulti="true" ma:sspId="52472cf3-6fa7-482d-9f4f-6fbad59795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Budget" ma:index="33" nillable="true" ma:displayName="Budget" ma:format="Dropdown" ma:internalName="Budge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a181e0-1203-41b9-8ae0-2dcd1a719fc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6bd40d36-168b-49d0-9c35-89ec5f868836}" ma:internalName="TaxCatchAll" ma:showField="CatchAllData" ma:web="94a181e0-1203-41b9-8ae0-2dcd1a719f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noy xmlns="8776939f-5711-4b7e-8619-ef1d6035b8e5" xsi:nil="true"/>
    <Budget xmlns="8776939f-5711-4b7e-8619-ef1d6035b8e5" xsi:nil="true"/>
    <lcf76f155ced4ddcb4097134ff3c332f xmlns="8776939f-5711-4b7e-8619-ef1d6035b8e5">
      <Terms xmlns="http://schemas.microsoft.com/office/infopath/2007/PartnerControls"/>
    </lcf76f155ced4ddcb4097134ff3c332f>
    <TaxCatchAll xmlns="94a181e0-1203-41b9-8ae0-2dcd1a719fc0" xsi:nil="true"/>
  </documentManagement>
</p:properties>
</file>

<file path=customXml/itemProps1.xml><?xml version="1.0" encoding="utf-8"?>
<ds:datastoreItem xmlns:ds="http://schemas.openxmlformats.org/officeDocument/2006/customXml" ds:itemID="{9169BD58-4EB5-4A3E-AB79-EF68484EAA43}"/>
</file>

<file path=customXml/itemProps2.xml><?xml version="1.0" encoding="utf-8"?>
<ds:datastoreItem xmlns:ds="http://schemas.openxmlformats.org/officeDocument/2006/customXml" ds:itemID="{CDDDD4D1-8FBE-40C2-AEEA-E426541E8A61}"/>
</file>

<file path=customXml/itemProps3.xml><?xml version="1.0" encoding="utf-8"?>
<ds:datastoreItem xmlns:ds="http://schemas.openxmlformats.org/officeDocument/2006/customXml" ds:itemID="{12BA7C74-87F3-4DF0-B0BA-25CCFA1B255F}"/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2026-08-05T12:03:59Z</dcterms:created>
  <dcterms:modified xsi:type="dcterms:W3CDTF">2026-08-05T12:03:59Z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0x010100D88F89D4DBC9164EAAD077F6A65CDF0A</vt:lpwstr>
  </property>
</Properties>
</file>