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7d61a5d53be4992eb1468659898542cc57cd401"/>
    <w:p>
      <w:pPr>
        <w:pStyle w:val="Heading1"/>
      </w:pPr>
      <w:r>
        <w:t xml:space="preserve">GC 510 — Competitive Strategy &amp; Game Theory for Capture (14-week syllabus)</w:t>
      </w:r>
    </w:p>
    <w:p>
      <w:pPr>
        <w:pStyle w:val="FirstParagraph"/>
      </w:pPr>
      <w:r>
        <w:rPr>
          <w:i/>
          <w:iCs/>
        </w:rPr>
        <w:t xml:space="preserve">The federal market is a game with published rules, a handful of players, and high stakes. This course gives you the strategic toolkit the undergraduate tier uses by instinct: position, commitment, coalitions, and the discipline of anticipating the other players. Game theory is the grammar; competitive strategy is the prose.</w:t>
      </w:r>
    </w:p>
    <w:p>
      <w:pPr>
        <w:pStyle w:val="BodyText"/>
      </w:pPr>
      <w:r>
        <w:rPr>
          <w:b/>
          <w:bCs/>
        </w:rPr>
        <w:t xml:space="preserve">Course number:</w:t>
      </w:r>
      <w:r>
        <w:t xml:space="preserve"> </w:t>
      </w:r>
      <w:r>
        <w:t xml:space="preserve">GC 510 ·</w:t>
      </w:r>
      <w:r>
        <w:t xml:space="preserve"> </w:t>
      </w:r>
      <w:r>
        <w:rPr>
          <w:b/>
          <w:bCs/>
        </w:rPr>
        <w:t xml:space="preserve">Credits:</w:t>
      </w:r>
      <w:r>
        <w:t xml:space="preserve"> </w:t>
      </w:r>
      <w:r>
        <w:t xml:space="preserve">3 ·</w:t>
      </w:r>
      <w:r>
        <w:t xml:space="preserve"> </w:t>
      </w:r>
      <w:r>
        <w:rPr>
          <w:b/>
          <w:bCs/>
        </w:rPr>
        <w:t xml:space="preserve">Format:</w:t>
      </w:r>
      <w:r>
        <w:t xml:space="preserve"> </w:t>
      </w:r>
      <w:r>
        <w:t xml:space="preserve">14 weeks, one 75-minute session per week (plus reading and a weekly written deliverable).</w:t>
      </w:r>
      <w:r>
        <w:t xml:space="preserve"> </w:t>
      </w:r>
      <w:r>
        <w:rPr>
          <w:b/>
          <w:bCs/>
        </w:rPr>
        <w:t xml:space="preserve">Audience:</w:t>
      </w:r>
      <w:r>
        <w:t xml:space="preserve"> </w:t>
      </w:r>
      <w:r>
        <w:t xml:space="preserve">Graduate students in the MS in Capture Management &amp; Government Business Development.</w:t>
      </w:r>
      <w:r>
        <w:t xml:space="preserve"> </w:t>
      </w:r>
      <w:r>
        <w:rPr>
          <w:b/>
          <w:bCs/>
        </w:rPr>
        <w:t xml:space="preserve">Prerequisites:</w:t>
      </w:r>
      <w:r>
        <w:t xml:space="preserve"> </w:t>
      </w:r>
      <w:r>
        <w:t xml:space="preserve">GC 501 (microeconomics) or concurrent. Game theory is taught from zero — no prior formal game theory required.</w:t>
      </w:r>
      <w:r>
        <w:t xml:space="preserve"> </w:t>
      </w:r>
      <w:r>
        <w:rPr>
          <w:b/>
          <w:bCs/>
        </w:rPr>
        <w:t xml:space="preserve">Recommended companion:</w:t>
      </w:r>
      <w:r>
        <w:t xml:space="preserve"> </w:t>
      </w:r>
      <w:r>
        <w:t xml:space="preserve">GC 530 (research methods) — the competitive-strategy course builds hypotheses; the research course teaches you to test them.</w:t>
      </w:r>
      <w:r>
        <w:t xml:space="preserve"> </w:t>
      </w:r>
      <w:r>
        <w:rPr>
          <w:b/>
          <w:bCs/>
        </w:rPr>
        <w:t xml:space="preserve">Texts:</w:t>
      </w:r>
      <w:r>
        <w:t xml:space="preserve"> </w:t>
      </w:r>
      <w:r>
        <w:t xml:space="preserve">the doctrine and literacy folders of this repository; the course reader (seminal game-theory and strategy papers, all rendered at concept altitude). No software required — the course is stack-agnostic by design (doctrine/08).</w:t>
      </w:r>
    </w:p>
    <w:p>
      <w:r>
        <w:pict>
          <v:rect style="width:0;height:1.5pt" o:hralign="center" o:hrstd="t" o:hr="t"/>
        </w:pict>
      </w:r>
    </w:p>
    <w:bookmarkStart w:id="20" w:name="learning-outcomes"/>
    <w:p>
      <w:pPr>
        <w:pStyle w:val="Heading2"/>
      </w:pPr>
      <w:r>
        <w:t xml:space="preserve">Learning outcomes</w:t>
      </w:r>
    </w:p>
    <w:p>
      <w:pPr>
        <w:pStyle w:val="FirstParagraph"/>
      </w:pPr>
      <w:r>
        <w:t xml:space="preserve">By the end of this course, a student can:</w:t>
      </w:r>
    </w:p>
    <w:p>
      <w:pPr>
        <w:pStyle w:val="Compact"/>
        <w:numPr>
          <w:ilvl w:val="0"/>
          <w:numId w:val="1001"/>
        </w:numPr>
      </w:pPr>
      <w:r>
        <w:t xml:space="preserve">Read a competitive situation as a game: identify the players, the strategies, the payoffs, the sequence, and the information available to each.</w:t>
      </w:r>
    </w:p>
    <w:p>
      <w:pPr>
        <w:pStyle w:val="Compact"/>
        <w:numPr>
          <w:ilvl w:val="0"/>
          <w:numId w:val="1001"/>
        </w:numPr>
      </w:pPr>
      <w:r>
        <w:t xml:space="preserve">Use the core solution concepts — dominance, Nash equilibrium, and backward induction — to predict competitive behavior in a small field of bidders.</w:t>
      </w:r>
    </w:p>
    <w:p>
      <w:pPr>
        <w:pStyle w:val="Compact"/>
        <w:numPr>
          <w:ilvl w:val="0"/>
          <w:numId w:val="1001"/>
        </w:numPr>
      </w:pPr>
      <w:r>
        <w:t xml:space="preserve">Explain commitment and credibility: when a stated intent is a real strategic move and when it is cheap talk.</w:t>
      </w:r>
    </w:p>
    <w:p>
      <w:pPr>
        <w:pStyle w:val="Compact"/>
        <w:numPr>
          <w:ilvl w:val="0"/>
          <w:numId w:val="1001"/>
        </w:numPr>
      </w:pPr>
      <w:r>
        <w:t xml:space="preserve">Analyze incumbency as a strategic asset and choose among the canonical displacement plays — take the recompete, ghost the entrenched incumbent, team around the holder, pivot to white space, or walk.</w:t>
      </w:r>
    </w:p>
    <w:p>
      <w:pPr>
        <w:pStyle w:val="Compact"/>
        <w:numPr>
          <w:ilvl w:val="0"/>
          <w:numId w:val="1001"/>
        </w:numPr>
      </w:pPr>
      <w:r>
        <w:t xml:space="preserve">Distinguish a discriminator from a baseline feature, and design a capture strategy around claims competitors cannot credibly make.</w:t>
      </w:r>
    </w:p>
    <w:p>
      <w:pPr>
        <w:pStyle w:val="Compact"/>
        <w:numPr>
          <w:ilvl w:val="0"/>
          <w:numId w:val="1001"/>
        </w:numPr>
      </w:pPr>
      <w:r>
        <w:t xml:space="preserve">Model teaming as coalition formation: when to team, with whom, and on what terms.</w:t>
      </w:r>
    </w:p>
    <w:p>
      <w:pPr>
        <w:pStyle w:val="Compact"/>
        <w:numPr>
          <w:ilvl w:val="0"/>
          <w:numId w:val="1001"/>
        </w:numPr>
      </w:pPr>
      <w:r>
        <w:t xml:space="preserve">Set a pricing posture as a strategic position — premium, parity, aggressive, or price-disciplined — and explain the signal it sends to the customer and to competitors.</w:t>
      </w:r>
    </w:p>
    <w:p>
      <w:pPr>
        <w:pStyle w:val="Compact"/>
        <w:numPr>
          <w:ilvl w:val="0"/>
          <w:numId w:val="1001"/>
        </w:numPr>
      </w:pPr>
      <w:r>
        <w:t xml:space="preserve">Decide bid/no-bid as a portfolio game rather than a per-pursuit gamble.</w:t>
      </w:r>
    </w:p>
    <w:p>
      <w:pPr>
        <w:pStyle w:val="Compact"/>
        <w:numPr>
          <w:ilvl w:val="0"/>
          <w:numId w:val="1001"/>
        </w:numPr>
      </w:pPr>
      <w:r>
        <w:t xml:space="preserve">Respect the ethical and legal boundaries of competitive strategy: public-record facts only, no disparagement, no conflicts of interest.</w:t>
      </w:r>
    </w:p>
    <w:p>
      <w:r>
        <w:pict>
          <v:rect style="width:0;height:1.5pt" o:hralign="center" o:hrstd="t" o:hr="t"/>
        </w:pict>
      </w:r>
    </w:p>
    <w:bookmarkEnd w:id="20"/>
    <w:bookmarkStart w:id="21" w:name="weekly-schedule"/>
    <w:p>
      <w:pPr>
        <w:pStyle w:val="Heading2"/>
      </w:pPr>
      <w:r>
        <w:t xml:space="preserve">Weekly schedule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Week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In-session (75 min)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Reading / material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Assignment due next week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Strategy is a position, not a wish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capture mindset. Win strategy as a set of claims about the customer, the competition, and yourself. Discriminators vs. baseline features.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doctrine/03; doctrine/05; the capture doctrine at concept altitude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One-page position statement for a case pursuit: the customer’s need, the competitive set, and the one claim you will make that no competitor can credibly make.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Game theory foundations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Normal-form games, players, strategies, payoffs. Dominance and dominated strategies. Nash equilibrium and why we predict it.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course reader on game theory; doctrine/03 (pipeline as a game)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Worked exercise: model a two-bidder price competition as a normal-form game; find the dominant strategies.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Sequential games: commitment and credibility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Extensive-form games, backward induction, first-mover advantage. When a promise is a commitment and when it is cheap talk.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course reader on sequential games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Short paper: identify a commitment move in a real capture campaign (e.g., a key-person hire, a teambuilding announcement, an investment) and analyze its credibility.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Competition among the few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Oligopoly reasoning: how a small field of bidders behaves. Reaction functions, competitive response, and the danger of overfitting to a rival.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doctrine/05; the course reader on oligopoly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Memo: for a real market segment, name the likely competitors and predict how each would react to an aggressive price play.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Incumbency as a strategic asset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Why incumbency is the highest-signal feature in capture. The anatomy of incumbency: relationships, knowledge, switching cost, past performance.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doctrine/07; the incumbency canon at concept altitude (bands from low to entrenched)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Incumbent analysis: profile the holder of a real (closed) contract. What is the source of its advantage? Where is it vulnerable?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Displacement plays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canonical plays against an incumbent: take the recompete, ghost the entrenched, team around the holder, pivot to white space, walk. Choosing the play from the facts.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displacement canon at concept altitude; doctrine/04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Decision memo: for a real recompete situation, choose the displacement play, state the facts that drive the choice, and the evidence that would change it.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Ghosting and positioning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Ghost themes as evaluation-relevant discriminators framed against the customer’s stated requirements — never disparagement. What a ghost theme must cite to be credible.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doctrine/02; doctrine/05; the ghosting discipline at concept altitude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Draft a ghost-theme set for a case pursuit: three themes, each tied to a customer requirement and a public-record basis.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Coalition games: teaming as strategy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Teaming as coalition formation. When a competitor is also a teammate. The posture decision: prime solo, prime with subs, sub, JV, mentor-protege.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teaming canon at concept altitude; doctrine/07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Teaming memo: for a case pursuit, run the gap analysis and recommend a posture with a partner-rubric defense.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Midterm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In-class examination: analyze a real, published competitive situation end-to-end — the game, the players, the position, the play.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(review weeks 1–8)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Midterm submission.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Price as a signal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Pricing posture as a strategic move. Premium, parity, aggressive, price-disciplined: what each signals to the customer and to competitors, and when each is rational.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doctrine/05; the pricing-strategy canon at concept altitude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Pricing-posture memo: recommend a posture for a case pursuit and predict the competitor reaction.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Pre-RFP shaping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strategy that happens before the RFP drops: sources sought, RFIs, industry days, capability briefings. Shaping the requirement as a legitimate strategic move — and where the line is.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doctrine/02; the capture doctrine at concept altitude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Engagement plan: design a pre-RFP shaping campaign for a forecast opportunity, with the boundary of legitimate shaping stated.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Repeated games: reputation and the long term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federal market as a repeated game. Reputation, trust, past performance, and the value of a credible delivery record. Why a firm that cheats the process loses more than the contract.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doctrine/07; the course reader on repeated games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Reflection paper: how does the repeated-game structure of the market change the optimal strategy of a small firm?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Portfolio strategy as game theory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Bid/no-bid as a portfolio decision. Capacity as the scarce resource; threshold discipline as an exercise price; the strategic value of saying no.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doctrine/03; doctrine/05; the bid/no-bid canon at concept altitude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Portfolio game: allocate a fixed capture budget across a scored opportunity set, treating each pursuit as a strategic bet with a competitive dimension.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Synthesis: the strategist’s desk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whole course in one frame: the capture strategist reads games, builds positions, forms coalitions, sets prices, and governs the portfolio. Final strategy defense before a skeptical panel.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(course synthesis)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Final strategy paper:</w:t>
            </w:r>
            <w:r>
              <w:t xml:space="preserve"> </w:t>
            </w:r>
            <w:r>
              <w:t xml:space="preserve">“</w:t>
            </w:r>
            <w:r>
              <w:t xml:space="preserve">The competitive strategy of [your] pursuit,</w:t>
            </w:r>
            <w:r>
              <w:t xml:space="preserve">”</w:t>
            </w:r>
            <w:r>
              <w:t xml:space="preserve"> </w:t>
            </w:r>
            <w:r>
              <w:t xml:space="preserve">2,500 words, defended in class.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1"/>
    <w:bookmarkStart w:id="22" w:name="assessment-summary"/>
    <w:p>
      <w:pPr>
        <w:pStyle w:val="Heading2"/>
      </w:pPr>
      <w:r>
        <w:t xml:space="preserve">Assessment summary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Weekly deliverables — 40%.</w:t>
      </w:r>
      <w:r>
        <w:t xml:space="preserve"> </w:t>
      </w:r>
      <w:r>
        <w:t xml:space="preserve">Each a concrete strategic artifact (a position statement, a game model, a displacement decision, a teaming memo).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Midterm — 25%.</w:t>
      </w:r>
      <w:r>
        <w:t xml:space="preserve"> </w:t>
      </w:r>
      <w:r>
        <w:t xml:space="preserve">In-class, real competitive-situation analysis.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Final strategy paper + defense — 25%.</w:t>
      </w:r>
      <w:r>
        <w:t xml:space="preserve"> </w:t>
      </w:r>
      <w:r>
        <w:t xml:space="preserve">A complete competitive strategy for a real pursuit or portfolio, defended before a panel that pushes back.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Participation and peer review — 10%.</w:t>
      </w:r>
      <w:r>
        <w:t xml:space="preserve"> </w:t>
      </w:r>
      <w:r>
        <w:t xml:space="preserve">Prepared, honest, useful contribution — the discipline the strategy room demands.</w:t>
      </w:r>
    </w:p>
    <w:bookmarkEnd w:id="22"/>
    <w:bookmarkStart w:id="23" w:name="the-graduate-rubric"/>
    <w:p>
      <w:pPr>
        <w:pStyle w:val="Heading2"/>
      </w:pPr>
      <w:r>
        <w:t xml:space="preserve">The graduate rubric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Criterion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Excellent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Proficient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Developing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Strategic reasoning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Models the game correctly and chooses a defensible strategy from the facts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Correct model, weaker strategy choice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Strategy asserted, not derived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Evidence discipline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Position and plays rest on public-record facts, stated explicitly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Mostly evidence-grounded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Relies on assumption or invention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Adversarial thinking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Anticipates competitor and customer response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Considers response at a surface level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Ignores the other players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Ethical boundary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Strategy stays clearly on the public-record side of the 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Boundary implied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Boundary unclear or crossed</w:t>
            </w:r>
          </w:p>
        </w:tc>
      </w:tr>
    </w:tbl>
    <w:bookmarkEnd w:id="23"/>
    <w:bookmarkStart w:id="24" w:name="policies"/>
    <w:p>
      <w:pPr>
        <w:pStyle w:val="Heading2"/>
      </w:pPr>
      <w:r>
        <w:t xml:space="preserve">Policies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Real markets, safe exercises.</w:t>
      </w:r>
      <w:r>
        <w:t xml:space="preserve"> </w:t>
      </w:r>
      <w:r>
        <w:t xml:space="preserve">We analyze real published competitions — never live ones, and never using non-public information.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Integrity.</w:t>
      </w:r>
      <w:r>
        <w:t xml:space="preserve"> </w:t>
      </w:r>
      <w:r>
        <w:t xml:space="preserve">Competitive strategy in this course is the art of the public record. Disparagement, fabrication, or strategy that depends on inside information fails the relevant assessment.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Late work.</w:t>
      </w:r>
      <w:r>
        <w:t xml:space="preserve"> </w:t>
      </w:r>
      <w:r>
        <w:t xml:space="preserve">An honest early warning beats a silent late submission.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  <w:iCs/>
        </w:rPr>
        <w:t xml:space="preserve">The market is a game with published rules. The graduate strategist learns the rules, reads the other players, and plays a long game worth winning.</w:t>
      </w:r>
    </w:p>
    <w:bookmarkEnd w:id="24"/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ettings" Target="settings.xml"/><Relationship Id="rId7" Type="http://schemas.openxmlformats.org/officeDocument/2006/relationships/footnotes" Target="foot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11" Type="http://schemas.openxmlformats.org/officeDocument/2006/relationships/customXml" Target="../customXml/item3.xml"/><Relationship Id="rId5" Type="http://schemas.openxmlformats.org/officeDocument/2006/relationships/fontTable" Target="fontTable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8F89D4DBC9164EAAD077F6A65CDF0A" ma:contentTypeVersion="27" ma:contentTypeDescription="Create a new document." ma:contentTypeScope="" ma:versionID="7fef060ed95bf7b4c871fb5590ffba56">
  <xsd:schema xmlns:xsd="http://www.w3.org/2001/XMLSchema" xmlns:xs="http://www.w3.org/2001/XMLSchema" xmlns:p="http://schemas.microsoft.com/office/2006/metadata/properties" xmlns:ns2="8776939f-5711-4b7e-8619-ef1d6035b8e5" xmlns:ns3="94a181e0-1203-41b9-8ae0-2dcd1a719fc0" targetNamespace="http://schemas.microsoft.com/office/2006/metadata/properties" ma:root="true" ma:fieldsID="1ac12e87290b2432eb1ed38730e28d76" ns2:_="" ns3:_="">
    <xsd:import namespace="8776939f-5711-4b7e-8619-ef1d6035b8e5"/>
    <xsd:import namespace="94a181e0-1203-41b9-8ae0-2dcd1a719f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ynoy" minOccurs="0"/>
                <xsd:element ref="ns2:bb08d3d8-654e-405a-bd2f-eb04bd0c1711CountryOrRegion" minOccurs="0"/>
                <xsd:element ref="ns2:bb08d3d8-654e-405a-bd2f-eb04bd0c1711State" minOccurs="0"/>
                <xsd:element ref="ns2:bb08d3d8-654e-405a-bd2f-eb04bd0c1711City" minOccurs="0"/>
                <xsd:element ref="ns2:bb08d3d8-654e-405a-bd2f-eb04bd0c1711PostalCode" minOccurs="0"/>
                <xsd:element ref="ns2:bb08d3d8-654e-405a-bd2f-eb04bd0c1711Street" minOccurs="0"/>
                <xsd:element ref="ns2:bb08d3d8-654e-405a-bd2f-eb04bd0c1711GeoLoc" minOccurs="0"/>
                <xsd:element ref="ns2:bb08d3d8-654e-405a-bd2f-eb04bd0c1711DispNam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Budge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6939f-5711-4b7e-8619-ef1d6035b8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ynoy" ma:index="19" nillable="true" ma:displayName="Location" ma:internalName="ynoy">
      <xsd:simpleType>
        <xsd:restriction base="dms:Unknown"/>
      </xsd:simpleType>
    </xsd:element>
    <xsd:element name="bb08d3d8-654e-405a-bd2f-eb04bd0c1711CountryOrRegion" ma:index="20" nillable="true" ma:displayName="Location: Country/Region" ma:internalName="CountryOrRegion" ma:readOnly="true">
      <xsd:simpleType>
        <xsd:restriction base="dms:Text"/>
      </xsd:simpleType>
    </xsd:element>
    <xsd:element name="bb08d3d8-654e-405a-bd2f-eb04bd0c1711State" ma:index="21" nillable="true" ma:displayName="Location: State" ma:internalName="State" ma:readOnly="true">
      <xsd:simpleType>
        <xsd:restriction base="dms:Text"/>
      </xsd:simpleType>
    </xsd:element>
    <xsd:element name="bb08d3d8-654e-405a-bd2f-eb04bd0c1711City" ma:index="22" nillable="true" ma:displayName="Location: City" ma:internalName="City" ma:readOnly="true">
      <xsd:simpleType>
        <xsd:restriction base="dms:Text"/>
      </xsd:simpleType>
    </xsd:element>
    <xsd:element name="bb08d3d8-654e-405a-bd2f-eb04bd0c1711PostalCode" ma:index="23" nillable="true" ma:displayName="Location: Postal Code" ma:internalName="PostalCode" ma:readOnly="true">
      <xsd:simpleType>
        <xsd:restriction base="dms:Text"/>
      </xsd:simpleType>
    </xsd:element>
    <xsd:element name="bb08d3d8-654e-405a-bd2f-eb04bd0c1711Street" ma:index="24" nillable="true" ma:displayName="Location: Street" ma:internalName="Street" ma:readOnly="true">
      <xsd:simpleType>
        <xsd:restriction base="dms:Text"/>
      </xsd:simpleType>
    </xsd:element>
    <xsd:element name="bb08d3d8-654e-405a-bd2f-eb04bd0c1711GeoLoc" ma:index="25" nillable="true" ma:displayName="Location: Coordinates" ma:internalName="GeoLoc" ma:readOnly="true">
      <xsd:simpleType>
        <xsd:restriction base="dms:Unknown"/>
      </xsd:simpleType>
    </xsd:element>
    <xsd:element name="bb08d3d8-654e-405a-bd2f-eb04bd0c1711DispName" ma:index="26" nillable="true" ma:displayName="Location: Name" ma:internalName="DispName" ma:readOnly="true">
      <xsd:simpleType>
        <xsd:restriction base="dms:Text"/>
      </xsd:simpleType>
    </xsd:element>
    <xsd:element name="MediaLengthInSeconds" ma:index="2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52472cf3-6fa7-482d-9f4f-6fbad59795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Budget" ma:index="33" nillable="true" ma:displayName="Budget" ma:format="Dropdown" ma:internalName="Budge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181e0-1203-41b9-8ae0-2dcd1a719fc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6bd40d36-168b-49d0-9c35-89ec5f868836}" ma:internalName="TaxCatchAll" ma:showField="CatchAllData" ma:web="94a181e0-1203-41b9-8ae0-2dcd1a719f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noy xmlns="8776939f-5711-4b7e-8619-ef1d6035b8e5" xsi:nil="true"/>
    <Budget xmlns="8776939f-5711-4b7e-8619-ef1d6035b8e5" xsi:nil="true"/>
    <lcf76f155ced4ddcb4097134ff3c332f xmlns="8776939f-5711-4b7e-8619-ef1d6035b8e5">
      <Terms xmlns="http://schemas.microsoft.com/office/infopath/2007/PartnerControls"/>
    </lcf76f155ced4ddcb4097134ff3c332f>
    <TaxCatchAll xmlns="94a181e0-1203-41b9-8ae0-2dcd1a719fc0" xsi:nil="true"/>
  </documentManagement>
</p:properties>
</file>

<file path=customXml/itemProps1.xml><?xml version="1.0" encoding="utf-8"?>
<ds:datastoreItem xmlns:ds="http://schemas.openxmlformats.org/officeDocument/2006/customXml" ds:itemID="{18300B2E-B7C4-41BE-B583-9614650366FE}"/>
</file>

<file path=customXml/itemProps2.xml><?xml version="1.0" encoding="utf-8"?>
<ds:datastoreItem xmlns:ds="http://schemas.openxmlformats.org/officeDocument/2006/customXml" ds:itemID="{048848B4-AF67-448D-A264-B1A23362E2E9}"/>
</file>

<file path=customXml/itemProps3.xml><?xml version="1.0" encoding="utf-8"?>
<ds:datastoreItem xmlns:ds="http://schemas.openxmlformats.org/officeDocument/2006/customXml" ds:itemID="{B1BBBF1B-FD86-49A9-8457-4E2A4A7E44E6}"/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2026-08-05T12:03:59Z</dcterms:created>
  <dcterms:modified xsi:type="dcterms:W3CDTF">2026-08-05T12:03:59Z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0x010100D88F89D4DBC9164EAAD077F6A65CDF0A</vt:lpwstr>
  </property>
</Properties>
</file>