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c0d81bf3f556a4f431de57494a4d06b08b8a7b"/>
    <w:p>
      <w:pPr>
        <w:pStyle w:val="Heading1"/>
      </w:pPr>
      <w:r>
        <w:t xml:space="preserve">GC 540 — Advanced Finance: FAR Cost Principles, DCAA, CAS, TINA (14-week syllabus)</w:t>
      </w:r>
    </w:p>
    <w:p>
      <w:pPr>
        <w:pStyle w:val="FirstParagraph"/>
      </w:pPr>
      <w:r>
        <w:rPr>
          <w:i/>
          <w:iCs/>
        </w:rPr>
        <w:t xml:space="preserve">The undergraduate tier teaches price-to-win as a position. This course teaches the machinery underneath the price: how a cost is built, how the government’s cost principles judge it, how the auditors check it, how the standards discipline it, and how the truth-in-negotiation rules make the builder accountable for it. This is the finance course the discipline has always needed and rarely had.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GC 540 ·</w:t>
      </w:r>
      <w:r>
        <w:t xml:space="preserve"> </w:t>
      </w:r>
      <w:r>
        <w:rPr>
          <w:b/>
          <w:bCs/>
        </w:rPr>
        <w:t xml:space="preserve">Credits: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Format:</w:t>
      </w:r>
      <w:r>
        <w:t xml:space="preserve"> </w:t>
      </w:r>
      <w:r>
        <w:t xml:space="preserve">14 weeks, one 75-minute session per week (plus reading and a weekly finance artifact).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in Capture Management &amp; Government Business Development; pricing analysts, capture managers, and finance professionals.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GC 501 (microeconomics) — the cost-floor and risk economics;</w:t>
      </w:r>
      <w:r>
        <w:t xml:space="preserve"> </w:t>
      </w:r>
      <w:r>
        <w:rPr>
          <w:b/>
          <w:bCs/>
        </w:rPr>
        <w:t xml:space="preserve">recommended</w:t>
      </w:r>
      <w:r>
        <w:t xml:space="preserve"> </w:t>
      </w:r>
      <w:r>
        <w:t xml:space="preserve">GC 510 (competitive strategy) taken with or before this course (pricing posture).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the doctrine and literacy folders of this repository; the course reader of FAR excerpts (cost principles, profit, negotiation) and the standards — all rendered at concept altitude. A spreadsheet is sufficient for all computation. The course is stack-agnostic by design (doctrine/08).</w:t>
      </w:r>
    </w:p>
    <w:p>
      <w:pPr>
        <w:pStyle w:val="BlockText"/>
      </w:pPr>
      <w:r>
        <w:rPr>
          <w:b/>
          <w:bCs/>
        </w:rPr>
        <w:t xml:space="preserve">A note on the canon.</w:t>
      </w:r>
      <w:r>
        <w:t xml:space="preserve"> </w:t>
      </w:r>
      <w:r>
        <w:t xml:space="preserve">The pricing discipline in this course is the human rendering of a machine doctrine that encodes the same concepts as versioned rules and formulas. This course teaches the</w:t>
      </w:r>
      <w:r>
        <w:t xml:space="preserve"> </w:t>
      </w:r>
      <w:r>
        <w:rPr>
          <w:i/>
          <w:iCs/>
        </w:rPr>
        <w:t xml:space="preserve">concepts</w:t>
      </w:r>
      <w:r>
        <w:t xml:space="preserve"> </w:t>
      </w:r>
      <w:r>
        <w:t xml:space="preserve">— the cost floor, the burden chain, the three pricing anchors, the escalation discipline — never the software that encodes them. If a government inspector, an auditor, or a new tool ever replaced every system this industry uses, nothing in this course would change.</w:t>
      </w:r>
    </w:p>
    <w:p>
      <w:r>
        <w:pict>
          <v:rect style="width:0;height:1.5pt" o:hralign="center" o:hrstd="t" o:hr="t"/>
        </w:pict>
      </w:r>
    </w:p>
    <w:bookmarkStart w:id="20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Decompose a government contract’s money into cost, fee, and price — and explain which of the three is contested in a given negotiation.</w:t>
      </w:r>
    </w:p>
    <w:p>
      <w:pPr>
        <w:pStyle w:val="Compact"/>
        <w:numPr>
          <w:ilvl w:val="0"/>
          <w:numId w:val="1001"/>
        </w:numPr>
      </w:pPr>
      <w:r>
        <w:t xml:space="preserve">Distinguish direct from indirect costs and trace a dollar from a labor hour to a fully-burdened billing rate through the burden chain (fringe → overhead → G&amp;A → fee).</w:t>
      </w:r>
    </w:p>
    <w:p>
      <w:pPr>
        <w:pStyle w:val="Compact"/>
        <w:numPr>
          <w:ilvl w:val="0"/>
          <w:numId w:val="1001"/>
        </w:numPr>
      </w:pPr>
      <w:r>
        <w:t xml:space="preserve">Apply the FAR Part 31 cost principles: a cost is allowable if it is reasonable, allocable, and compliant with the applicable principles — and defend each judgment.</w:t>
      </w:r>
    </w:p>
    <w:p>
      <w:pPr>
        <w:pStyle w:val="Compact"/>
        <w:numPr>
          <w:ilvl w:val="0"/>
          <w:numId w:val="1001"/>
        </w:numPr>
      </w:pPr>
      <w:r>
        <w:t xml:space="preserve">Explain the role of the Cost Accounting Standards (CAS): what they standardize, when they apply, and what a disclosure statement does.</w:t>
      </w:r>
    </w:p>
    <w:p>
      <w:pPr>
        <w:pStyle w:val="Compact"/>
        <w:numPr>
          <w:ilvl w:val="0"/>
          <w:numId w:val="1001"/>
        </w:numPr>
      </w:pPr>
      <w:r>
        <w:t xml:space="preserve">Explain the Defense Contract Audit Agency’s role across the contract life — pre-award, forward pricing, incurred cost — and prepare for an audit with discipline.</w:t>
      </w:r>
    </w:p>
    <w:p>
      <w:pPr>
        <w:pStyle w:val="Compact"/>
        <w:numPr>
          <w:ilvl w:val="0"/>
          <w:numId w:val="1001"/>
        </w:numPr>
      </w:pPr>
      <w:r>
        <w:t xml:space="preserve">Apply the Truth in Negotiations Act (TINA): when certified cost or pricing data is required, what the certificate demands, and the consequence of a defective pricing disclosure.</w:t>
      </w:r>
    </w:p>
    <w:p>
      <w:pPr>
        <w:pStyle w:val="Compact"/>
        <w:numPr>
          <w:ilvl w:val="0"/>
          <w:numId w:val="1001"/>
        </w:numPr>
      </w:pPr>
      <w:r>
        <w:t xml:space="preserve">Build a cost volume at the CLIN/sub-CLIN level: labor, ODCs, travel, subcontracts — each with a justification that survives scrutiny.</w:t>
      </w:r>
    </w:p>
    <w:p>
      <w:pPr>
        <w:pStyle w:val="Compact"/>
        <w:numPr>
          <w:ilvl w:val="0"/>
          <w:numId w:val="1001"/>
        </w:numPr>
      </w:pPr>
      <w:r>
        <w:t xml:space="preserve">Write a basis of estimate (BOE) for every material cost element: the source, the method, the evidence.</w:t>
      </w:r>
    </w:p>
    <w:p>
      <w:pPr>
        <w:pStyle w:val="Compact"/>
        <w:numPr>
          <w:ilvl w:val="0"/>
          <w:numId w:val="1001"/>
        </w:numPr>
      </w:pPr>
      <w:r>
        <w:t xml:space="preserve">Set a price-to-win position from the three anchors — competitor band, customer affordability ceiling, cost-plus floor — and enforce a contract-type margin floor with escalation discipline.</w:t>
      </w:r>
    </w:p>
    <w:p>
      <w:pPr>
        <w:pStyle w:val="Compact"/>
        <w:numPr>
          <w:ilvl w:val="0"/>
          <w:numId w:val="1001"/>
        </w:numPr>
      </w:pPr>
      <w:r>
        <w:t xml:space="preserve">Reconcile the cost volume with the technical volume: the cost-technical reconciliation as the auditable record.</w:t>
      </w:r>
    </w:p>
    <w:p>
      <w:pPr>
        <w:pStyle w:val="Compact"/>
        <w:numPr>
          <w:ilvl w:val="0"/>
          <w:numId w:val="1001"/>
        </w:numPr>
      </w:pPr>
      <w:r>
        <w:t xml:space="preserve">Govern the financial life of a pursuit: B&amp;P budgets, margin discipline, escalation to the pricing authority, and the record-keeping that outlasts the contract.</w:t>
      </w:r>
    </w:p>
    <w:p>
      <w:r>
        <w:pict>
          <v:rect style="width:0;height:1.5pt" o:hralign="center" o:hrstd="t" o:hr="t"/>
        </w:pict>
      </w:r>
    </w:p>
    <w:bookmarkEnd w:id="20"/>
    <w:bookmarkStart w:id="21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/ 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anatomy of contract money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Cost, fee, price. What the government pays for, what the firm earns, and where the contested numbers live. Why</w:t>
            </w:r>
            <w:r>
              <w:t xml:space="preserve"> </w:t>
            </w:r>
            <w:r>
              <w:t xml:space="preserve">“</w:t>
            </w:r>
            <w:r>
              <w:t xml:space="preserve">the price</w:t>
            </w:r>
            <w:r>
              <w:t xml:space="preserve">”</w:t>
            </w:r>
            <w:r>
              <w:t xml:space="preserve"> </w:t>
            </w:r>
            <w:r>
              <w:t xml:space="preserve">is the last number built, not the first.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the pricing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 anatomy: decompose a real (published, closed) award into cost, fee, and price as best the public record shows.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vs. indirect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direct cost of a contract (labor, ODCs, travel, subs) and the indirect costs that must be recovered (fringe, overhead, G&amp;A). Why the classification matters and who decides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cost accounting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Classification exercise: take a list of twenty expense items and classify each direct or indirect, with reasoning.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burden chain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the fully-burdened rate: fringe on direct labor, overhead on direct + fringe, G&amp;A on the accumulated base, fee at the end. The burden multiplier and what it hides.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burden-chain canon at concept altitude (the LOE rate composer concept)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Worked problem: build a fully-burdened billing rate from a direct rate and four burden percentages; show each layer.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 Part 31 cost principles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Allowability, allocability, reasonableness. The three tests and the judgment each requires. Unallowable costs and the traps they set.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FAR Part 31; 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Case memo: three costs from a real (sanitized) situation — state allowability, allocability, reasonableness for each.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Accounting Standards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CAS standardizes: consistency, accounting for costs, allocation bases. When CAS applies, what a disclosure statement commits to, and the cost of noncompliance.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CAS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Comparison memo: how CAS discipline differs from good-enough bookkeeping, and where it binds a firm’s pricing flexibility.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DCAA and the audit life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audit agency’s role: pre-award reviews, forward pricing, incurred-cost audits. What an auditor looks for and how a firm prepares.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DCAA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Preparation memo: build a DCAA-readiness checklist for a firm that prices cost-type work, from provisional rates to the audit.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TINA: the truth-in-negotiation rule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Certified cost or pricing data: when it is required, what the certificate attests, and the defective-pricing consequence. The difference between cost data and cost judgment.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course reader on TINA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Scenario memo: in a fact pattern, identify whether TINA applies, what must be disclosed, and what a defective disclosure would cost.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 type as financial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FFP, T&amp;M, FFP-LoE, CPFF, CPAF, CPIF: who bears cost risk, how fee is earned, and what each does to the margin floor.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the contract-type and margin-floor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Matrix: for each contract type, the risk to the firm, the fee mechanism, and the floor that protects the firm.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In-class: given a case cost structure, classify, build the burden chain, apply the principles, and state the TINA posture.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weeks 1–8)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the cost 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CLIN/sub-CLIN structure: labor, ODCs, travel, subcontracts. Each line extended, justified, and reconciled to the technical approach.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cost-volume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 a cost volume for a case pursuit: CLINs, labor lines, ODCs, travel, subs — every line with a justification.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basis of estimate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BOE for every material cost element: the rate basis, the hours basis, the escalation basis, the vendor quote. What makes a BOE credible to an auditor.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BOE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Write full BOEs for the three largest cost elements in your cost volume.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Price-to-win, with the floor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three anchors — competitor band, customer affordability ceiling, cost-plus floor. Strategy selection, margin at target, and the escalation ladder when the floor is threatened.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the price-to-win and floor discipline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Pricing memo: set the price-to-win for your case pursuit; show the anchors, the margin at target, and the escalation if the floor fails.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Cost-technical reconciliation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price must be the technical proposal in money. The reconciliation memo as the auditable record linking cost and technical volumes.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reconciliation canon at concept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Reconciliation memo: prove that your cost volume prices what your (case) technical volume promises.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financial life of a pursuit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B&amp;P budgets, cash flow, margin discipline, and the record that outlasts the contract. Synthesis and panel defense of the pricing volume.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(course synthesis)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pricing volume for a case pursuit, defended before a panel that includes a pricing practitioner.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finance artifacts — 40%.</w:t>
      </w:r>
      <w:r>
        <w:t xml:space="preserve"> </w:t>
      </w:r>
      <w:r>
        <w:t xml:space="preserve">A cumulative pricing journal: classification, burden chain, principles, CAS/DCAA/TINA postures, cost volume, BOEs.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Midterm — 20%.</w:t>
      </w:r>
      <w:r>
        <w:t xml:space="preserve"> </w:t>
      </w:r>
      <w:r>
        <w:t xml:space="preserve">In-class cost-structure and compliance examination.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Final pricing volume + defense — 30%.</w:t>
      </w:r>
      <w:r>
        <w:t xml:space="preserve"> </w:t>
      </w:r>
      <w:r>
        <w:t xml:space="preserve">A complete, defensible pricing volume for a case pursuit, defended before a panel that probes the numbers.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Participation and peer review — 10%.</w:t>
      </w:r>
    </w:p>
    <w:bookmarkEnd w:id="22"/>
    <w:bookmarkStart w:id="23" w:name="the-graduate-rubric"/>
    <w:p>
      <w:pPr>
        <w:pStyle w:val="Heading2"/>
      </w:pPr>
      <w:r>
        <w:t xml:space="preserve">The graduate rubric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Criterion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Excellent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Cost accuracy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Numbers are correct, extended, and reconciled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Minor arithmetic or extension errors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Major errors or invented figures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Principle application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Allowability/allocability/reasonableness argued correctly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Mostly correct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Principles ignored or misapplied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Evidence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cost element carries a defensible basis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Most elements justified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BOE asserted, not evidenced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Floor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Margin floor enforced with escalation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Floor recognized, escalation weak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Floor ignored or undercut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Integrity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TINA/audit posture is clean and documented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Sound but informal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Unsafe or undocumented</w:t>
            </w:r>
          </w:p>
        </w:tc>
      </w:tr>
    </w:tbl>
    <w:bookmarkEnd w:id="23"/>
    <w:bookmarkStart w:id="24" w:name="policies"/>
    <w:p>
      <w:pPr>
        <w:pStyle w:val="Heading2"/>
      </w:pPr>
      <w:r>
        <w:t xml:space="preserve">Policies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numbers are the subject.</w:t>
      </w:r>
      <w:r>
        <w:t xml:space="preserve"> </w:t>
      </w:r>
      <w:r>
        <w:t xml:space="preserve">Fabricated rates, invented quotes, or a BOE without a basis fails the relevant assessment. This course grades the discipline of honest money.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Real contracts, safe exercises.</w:t>
      </w:r>
      <w:r>
        <w:t xml:space="preserve"> </w:t>
      </w:r>
      <w:r>
        <w:t xml:space="preserve">All teaching objects are real, published-and-closed contracts and public records. No live competition, no non-public pricing data.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An honest early warning beats a silent late submission.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The government does not buy a price; it buys a defensible cost structure that happens to end in a number. This course teaches you to build the structure.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471FB0A6-2A32-40C6-B3A9-BFDE35C7C2E5}"/>
</file>

<file path=customXml/itemProps2.xml><?xml version="1.0" encoding="utf-8"?>
<ds:datastoreItem xmlns:ds="http://schemas.openxmlformats.org/officeDocument/2006/customXml" ds:itemID="{B3978F67-BBF3-45BD-8BF3-E3DB58822230}"/>
</file>

<file path=customXml/itemProps3.xml><?xml version="1.0" encoding="utf-8"?>
<ds:datastoreItem xmlns:ds="http://schemas.openxmlformats.org/officeDocument/2006/customXml" ds:itemID="{D2722367-E24F-4CCD-9DF0-0B1E524D9FC3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2026-08-05T12:03:59Z</dcterms:created>
  <dcterms:modified xsi:type="dcterms:W3CDTF">2026-08-05T12:03:59Z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