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950df3f4e0c1fac1ff09f646d64e4eefeaf97a1"/>
    <w:p>
      <w:pPr>
        <w:pStyle w:val="Heading1"/>
      </w:pPr>
      <w:r>
        <w:t xml:space="preserve">Doctoral Advanced Module — AI Systems in the Pursuit Discipline</w:t>
      </w:r>
    </w:p>
    <w:p>
      <w:pPr>
        <w:pStyle w:val="FirstParagraph"/>
      </w:pPr>
      <w:r>
        <w:rPr>
          <w:i/>
          <w:iCs/>
        </w:rPr>
        <w:t xml:space="preserve">The discipline’s doctrine now runs in two renderings — human and machine — and the machine rendering makes claims that can be checked against the market. This seminar turns the AI layer into a research object: what it encodes, how to evaluate what it produces, and where the human stays Accountable.</w:t>
      </w:r>
    </w:p>
    <w:p>
      <w:pPr>
        <w:pStyle w:val="BodyText"/>
      </w:pPr>
      <w:r>
        <w:rPr>
          <w:b/>
          <w:bCs/>
        </w:rPr>
        <w:t xml:space="preserve">Level:</w:t>
      </w:r>
      <w:r>
        <w:t xml:space="preserve"> </w:t>
      </w:r>
      <w:r>
        <w:t xml:space="preserve">doctoral (L3 Architect / L4 Networker) ·</w:t>
      </w:r>
      <w:r>
        <w:t xml:space="preserve"> </w:t>
      </w:r>
      <w:r>
        <w:rPr>
          <w:b/>
          <w:bCs/>
        </w:rPr>
        <w:t xml:space="preserve">Format:</w:t>
      </w:r>
      <w:r>
        <w:t xml:space="preserve"> </w:t>
      </w:r>
      <w:r>
        <w:t xml:space="preserve">one 3-hour seminar per week, five sessions ·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DL 901 (design and measurement); DL 903 (empirical study design) recommended ·</w:t>
      </w:r>
      <w:r>
        <w:t xml:space="preserve"> </w:t>
      </w:r>
      <w:r>
        <w:rPr>
          <w:b/>
          <w:bCs/>
        </w:rPr>
        <w:t xml:space="preserve">Companions:</w:t>
      </w:r>
      <w:r>
        <w:t xml:space="preserve"> </w:t>
      </w:r>
      <w:hyperlink r:id="rId20">
        <w:r>
          <w:rPr>
            <w:rStyle w:val="Hyperlink"/>
          </w:rPr>
          <w:t xml:space="preserve">doctrine/08</w:t>
        </w:r>
      </w:hyperlink>
      <w:r>
        <w:t xml:space="preserve">,</w:t>
      </w:r>
      <w:r>
        <w:t xml:space="preserve"> </w:t>
      </w:r>
      <w:hyperlink r:id="rId21">
        <w:r>
          <w:rPr>
            <w:rStyle w:val="Hyperlink"/>
          </w:rPr>
          <w:t xml:space="preserve">align/concept-to-system-map.md</w:t>
        </w:r>
      </w:hyperlink>
      <w:r>
        <w:t xml:space="preserve">,</w:t>
      </w:r>
      <w:r>
        <w:t xml:space="preserve"> </w:t>
      </w:r>
      <w:hyperlink r:id="rId22">
        <w:r>
          <w:rPr>
            <w:rStyle w:val="Hyperlink"/>
          </w:rPr>
          <w:t xml:space="preserve">modules/doctoral/research-agenda.md</w:t>
        </w:r>
      </w:hyperlink>
      <w:r>
        <w:t xml:space="preserve"> </w:t>
      </w:r>
      <w:r>
        <w:t xml:space="preserve">·</w:t>
      </w:r>
      <w:r>
        <w:t xml:space="preserve"> </w:t>
      </w:r>
      <w:r>
        <w:rPr>
          <w:b/>
          <w:bCs/>
        </w:rPr>
        <w:t xml:space="preserve">Stack-agnostic promise:</w:t>
      </w:r>
      <w:r>
        <w:t xml:space="preserve"> </w:t>
      </w:r>
      <w:r>
        <w:t xml:space="preserve">the machine rendering is studied as</w:t>
      </w:r>
      <w:r>
        <w:t xml:space="preserve"> </w:t>
      </w:r>
      <w:r>
        <w:rPr>
          <w:i/>
          <w:iCs/>
        </w:rPr>
        <w:t xml:space="preserve">concepts</w:t>
      </w:r>
      <w:r>
        <w:t xml:space="preserve"> </w:t>
      </w:r>
      <w:r>
        <w:t xml:space="preserve">— what each piece claims, and how you would test the claim. No lesson requires operating any tool (doctrine/08).</w:t>
      </w:r>
    </w:p>
    <w:p>
      <w:pPr>
        <w:pStyle w:val="BodyText"/>
      </w:pPr>
      <w:r>
        <w:t xml:space="preserve">This module is one of the three C.A.S.E.-adjacent advanced modules the degree crosswalk promises at the doctoral tier (alongside advanced capture management and partnerships-and-ecosystems). Where DL 903 studies the discipline’s</w:t>
      </w:r>
      <w:r>
        <w:t xml:space="preserve"> </w:t>
      </w:r>
      <w:r>
        <w:rPr>
          <w:i/>
          <w:iCs/>
        </w:rPr>
        <w:t xml:space="preserve">empirical machinery</w:t>
      </w:r>
      <w:r>
        <w:t xml:space="preserve"> </w:t>
      </w:r>
      <w:r>
        <w:t xml:space="preserve">— the composites, the calibration monitors, the golden-thread walk — this seminar goes one level deeper into the</w:t>
      </w:r>
      <w:r>
        <w:t xml:space="preserve"> </w:t>
      </w:r>
      <w:r>
        <w:rPr>
          <w:b/>
          <w:bCs/>
        </w:rPr>
        <w:t xml:space="preserve">machine rendering itself</w:t>
      </w:r>
      <w:r>
        <w:t xml:space="preserve">: the versioned package of rules, formulas, playbooks, prompts, and retrieval corpus that encodes the doctrine, and the evaluation methodology a researcher must build to decide whether the machine’s recommendations can be trusted.</w:t>
      </w:r>
    </w:p>
    <w:p>
      <w:r>
        <w:pict>
          <v:rect style="width:0;height:1.5pt" o:hralign="center" o:hrstd="t" o:hr="t"/>
        </w:pict>
      </w:r>
    </w:p>
    <w:bookmarkStart w:id="23" w:name="course-description"/>
    <w:p>
      <w:pPr>
        <w:pStyle w:val="Heading2"/>
      </w:pPr>
      <w:r>
        <w:t xml:space="preserve">Course description</w:t>
      </w:r>
    </w:p>
    <w:p>
      <w:pPr>
        <w:pStyle w:val="FirstParagraph"/>
      </w:pPr>
      <w:r>
        <w:t xml:space="preserve">The pursuit discipline now has an unusual property: its doctrine is written twice. Once for humans (this curriculum, the</w:t>
      </w:r>
      <w:r>
        <w:t xml:space="preserve"> </w:t>
      </w:r>
      <w:r>
        <w:rPr>
          <w:rStyle w:val="VerbatimChar"/>
        </w:rPr>
        <w:t xml:space="preserve">doctrine/</w:t>
      </w:r>
      <w:r>
        <w:t xml:space="preserve"> </w:t>
      </w:r>
      <w:r>
        <w:t xml:space="preserve">files) and once for machines (the DNA corpus — a versioned package the concept-to-system map keeps in lockstep). The two renderings are supposed to say the same thing —</w:t>
      </w:r>
      <w:r>
        <w:t xml:space="preserve"> </w:t>
      </w:r>
      <w:r>
        <w:t xml:space="preserve">“</w:t>
      </w:r>
      <w:r>
        <w:t xml:space="preserve">one doctrine, two renderings</w:t>
      </w:r>
      <w:r>
        <w:t xml:space="preserve">”</w:t>
      </w:r>
      <w:r>
        <w:t xml:space="preserve"> </w:t>
      </w:r>
      <w:r>
        <w:t xml:space="preserve">— and that claim, like every claim in the discipline, can be tested.</w:t>
      </w:r>
    </w:p>
    <w:p>
      <w:pPr>
        <w:pStyle w:val="BodyText"/>
      </w:pPr>
      <w:r>
        <w:t xml:space="preserve">The seminar has three jobs, one per part of the module: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Read the machine rendering as a research object.</w:t>
      </w:r>
      <w:r>
        <w:t xml:space="preserve"> </w:t>
      </w:r>
      <w:r>
        <w:t xml:space="preserve">What does each kind of artifact — a rule, a formula, a playbook, a prompt, a retrieval corpus —</w:t>
      </w:r>
      <w:r>
        <w:t xml:space="preserve"> </w:t>
      </w:r>
      <w:r>
        <w:rPr>
          <w:i/>
          <w:iCs/>
        </w:rPr>
        <w:t xml:space="preserve">claim</w:t>
      </w:r>
      <w:r>
        <w:t xml:space="preserve"> </w:t>
      </w:r>
      <w:r>
        <w:t xml:space="preserve">about the world? The answer is more subtle than it looks: a formula claims its weights are right, a prompt claims a persona instantiates reliably, a retrieval corpus claims its material is faithful and non-fabricated.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Build the evaluation methodology.</w:t>
      </w:r>
      <w:r>
        <w:t xml:space="preserve"> </w:t>
      </w:r>
      <w:r>
        <w:t xml:space="preserve">How does a researcher decide whether an agent’s capture recommendations are any good? The seminar assembles the evaluation program — calibration, discrimination, decision-fidelity, retrieval quality, reproducibility — that turns</w:t>
      </w:r>
      <w:r>
        <w:t xml:space="preserve"> </w:t>
      </w:r>
      <w:r>
        <w:t xml:space="preserve">“</w:t>
      </w:r>
      <w:r>
        <w:t xml:space="preserve">the AI made a recommendation</w:t>
      </w:r>
      <w:r>
        <w:t xml:space="preserve">”</w:t>
      </w:r>
      <w:r>
        <w:t xml:space="preserve"> </w:t>
      </w:r>
      <w:r>
        <w:t xml:space="preserve">into</w:t>
      </w:r>
      <w:r>
        <w:t xml:space="preserve"> </w:t>
      </w:r>
      <w:r>
        <w:t xml:space="preserve">“</w:t>
      </w:r>
      <w:r>
        <w:t xml:space="preserve">the AI’s recommendation is trustworthy enough to act on.</w:t>
      </w:r>
      <w:r>
        <w:t xml:space="preserve">”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Study the human-accountability frontier.</w:t>
      </w:r>
      <w:r>
        <w:t xml:space="preserve"> </w:t>
      </w:r>
      <w:r>
        <w:t xml:space="preserve">The most consequential governance design in the machine side is the boundary between what runs automatically and what a human stays Accountable for. The Dream Gate is where that boundary is exercised — a decision structure with trigger, criteria, owner, and a mode that can be advisory or blocking. The Gate is a research object in its own right.</w:t>
      </w:r>
    </w:p>
    <w:p>
      <w:pPr>
        <w:pStyle w:val="FirstParagraph"/>
      </w:pPr>
      <w:r>
        <w:t xml:space="preserve">The module is deliberately</w:t>
      </w:r>
      <w:r>
        <w:t xml:space="preserve"> </w:t>
      </w:r>
      <w:r>
        <w:rPr>
          <w:b/>
          <w:bCs/>
        </w:rPr>
        <w:t xml:space="preserve">stack-agnostic</w:t>
      </w:r>
      <w:r>
        <w:t xml:space="preserve"> </w:t>
      </w:r>
      <w:r>
        <w:t xml:space="preserve">in the strongest sense: the machine rendering is described as a</w:t>
      </w:r>
      <w:r>
        <w:t xml:space="preserve"> </w:t>
      </w:r>
      <w:r>
        <w:rPr>
          <w:i/>
          <w:iCs/>
        </w:rPr>
        <w:t xml:space="preserve">conceptual architecture</w:t>
      </w:r>
      <w:r>
        <w:t xml:space="preserve"> </w:t>
      </w:r>
      <w:r>
        <w:t xml:space="preserve">(rules / formulas / playbooks / prompts / retrieval corpus), not as any product’s files. A student who completes this seminar and then meets a completely different implementation of the same ideas — built by a different team in a different decade — would recognize every claim and every test.</w:t>
      </w:r>
    </w:p>
    <w:bookmarkEnd w:id="23"/>
    <w:bookmarkStart w:id="24" w:name="learning-outcomes"/>
    <w:p>
      <w:pPr>
        <w:pStyle w:val="Heading2"/>
      </w:pPr>
      <w:r>
        <w:t xml:space="preserve">Learning outcomes</w:t>
      </w:r>
    </w:p>
    <w:p>
      <w:pPr>
        <w:pStyle w:val="FirstParagraph"/>
      </w:pPr>
      <w:r>
        <w:t xml:space="preserve">By the end of this module, a student can: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Explain</w:t>
      </w:r>
      <w:r>
        <w:t xml:space="preserve">, at concept level, the architecture of the machine rendering — the five artifact families, what each claims, and what each hides.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Translate</w:t>
      </w:r>
      <w:r>
        <w:t xml:space="preserve"> </w:t>
      </w:r>
      <w:r>
        <w:t xml:space="preserve">any piece of the machine rendering into a falsifiable research question about the discipline.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Design</w:t>
      </w:r>
      <w:r>
        <w:t xml:space="preserve"> </w:t>
      </w:r>
      <w:r>
        <w:t xml:space="preserve">an evaluation study of a machine-produced recommendation — calibration, discrimination, decision-fidelity, retrieval quality — using the DL 901/DL 902 toolkit.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Analyze</w:t>
      </w:r>
      <w:r>
        <w:t xml:space="preserve"> </w:t>
      </w:r>
      <w:r>
        <w:t xml:space="preserve">the human-accountability frontier — the Gate as a decision structure, advisory vs. blocking mode, the Accountable boundary — and design the study that tests whether the boundary is drawn correctly.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Defend</w:t>
      </w:r>
      <w:r>
        <w:t xml:space="preserve"> </w:t>
      </w:r>
      <w:r>
        <w:t xml:space="preserve">a seminar research design that sits on the research agenda and is dissertation-ready.</w:t>
      </w:r>
    </w:p>
    <w:p>
      <w:r>
        <w:pict>
          <v:rect style="width:0;height:1.5pt" o:hralign="center" o:hrstd="t" o:hr="t"/>
        </w:pict>
      </w:r>
    </w:p>
    <w:bookmarkEnd w:id="24"/>
    <w:bookmarkStart w:id="25" w:name="Xda732c6f3d920fedc8a00d4d168b090444797a7"/>
    <w:p>
      <w:pPr>
        <w:pStyle w:val="Heading2"/>
      </w:pPr>
      <w:r>
        <w:t xml:space="preserve">Session 1 — One doctrine, two renderings: the machine as a research object</w:t>
      </w:r>
    </w:p>
    <w:p>
      <w:pPr>
        <w:pStyle w:val="FirstParagraph"/>
      </w:pPr>
      <w:r>
        <w:rPr>
          <w:b/>
          <w:bCs/>
        </w:rPr>
        <w:t xml:space="preserve">The claim.</w:t>
      </w:r>
      <w:r>
        <w:t xml:space="preserve"> </w:t>
      </w:r>
      <w:r>
        <w:t xml:space="preserve">The doctrine is now encoded in a versioned, machine-readable package, and that encoding makes testable claims about the world.</w:t>
      </w:r>
      <w:r>
        <w:t xml:space="preserve"> </w:t>
      </w:r>
      <w:r>
        <w:t xml:space="preserve">“</w:t>
      </w:r>
      <w:r>
        <w:t xml:space="preserve">One doctrine, two renderings</w:t>
      </w:r>
      <w:r>
        <w:t xml:space="preserve">”</w:t>
      </w:r>
      <w:r>
        <w:t xml:space="preserve"> </w:t>
      </w:r>
      <w:r>
        <w:t xml:space="preserve">is a</w:t>
      </w:r>
      <w:r>
        <w:t xml:space="preserve"> </w:t>
      </w:r>
      <w:r>
        <w:rPr>
          <w:i/>
          <w:iCs/>
        </w:rPr>
        <w:t xml:space="preserve">maintained</w:t>
      </w:r>
      <w:r>
        <w:t xml:space="preserve"> </w:t>
      </w:r>
      <w:r>
        <w:t xml:space="preserve">claim — the human and machine sides are kept in lockstep by a versioning discipline — and a maintained claim can be verified or falsified.</w:t>
      </w:r>
    </w:p>
    <w:p>
      <w:pPr>
        <w:pStyle w:val="BodyText"/>
      </w:pPr>
      <w:r>
        <w:rPr>
          <w:b/>
          <w:bCs/>
        </w:rPr>
        <w:t xml:space="preserve">The architecture, at concept level.</w:t>
      </w:r>
      <w:r>
        <w:t xml:space="preserve"> </w:t>
      </w:r>
      <w:r>
        <w:t xml:space="preserve">The machine rendering has five artifact families, each a different kind of claim: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Rules</w:t>
      </w:r>
      <w:r>
        <w:t xml:space="preserve"> </w:t>
      </w:r>
      <w:r>
        <w:t xml:space="preserve">— decision conditions. A rule says</w:t>
      </w:r>
      <w:r>
        <w:t xml:space="preserve"> </w:t>
      </w:r>
      <w:r>
        <w:rPr>
          <w:i/>
          <w:iCs/>
        </w:rPr>
        <w:t xml:space="preserve">when a condition holds, take this action</w:t>
      </w:r>
      <w:r>
        <w:t xml:space="preserve"> </w:t>
      </w:r>
      <w:r>
        <w:t xml:space="preserve">(a bid/no-bid disposition keyed to a rubric, a pricing floor enforced per contract type, a compliance gate). A rule claims its conditions are the right ones and its threshold is set correctly.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Formulas</w:t>
      </w:r>
      <w:r>
        <w:t xml:space="preserve"> </w:t>
      </w:r>
      <w:r>
        <w:t xml:space="preserve">— arithmetic. A formula computes a number from inputs (a pWin composite, a price-to-win estimate, a readiness index). A formula claims its inputs matter, its weights are right, and its output means what it says.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Playbooks</w:t>
      </w:r>
      <w:r>
        <w:t xml:space="preserve"> </w:t>
      </w:r>
      <w:r>
        <w:t xml:space="preserve">— sequenced procedures. A playbook orders the work of a stage (a capture plan, a proposal-production sequence, a compliance-matrix build). A playbook claims that following the sequence produces the intended result.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Prompts</w:t>
      </w:r>
      <w:r>
        <w:t xml:space="preserve"> </w:t>
      </w:r>
      <w:r>
        <w:t xml:space="preserve">— parameterized instructions that instantiate a persona or a stage operator (a capture-manager persona, a bid/no-bid analyst, a compliance officer, a red-team critic). A prompt claims that the persona it instantiates behaves consistently and in role.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Retrieval corpus</w:t>
      </w:r>
      <w:r>
        <w:t xml:space="preserve"> </w:t>
      </w:r>
      <w:r>
        <w:t xml:space="preserve">— curated material the machine retrieves from at inference time (past performance, agency win patterns, the doctrine itself). A corpus claims its material is faithful, current, and non-fabricated.</w:t>
      </w:r>
    </w:p>
    <w:p>
      <w:pPr>
        <w:pStyle w:val="FirstParagraph"/>
      </w:pPr>
      <w:r>
        <w:t xml:space="preserve">Each artifact is a</w:t>
      </w:r>
      <w:r>
        <w:t xml:space="preserve"> </w:t>
      </w:r>
      <w:r>
        <w:rPr>
          <w:i/>
          <w:iCs/>
        </w:rPr>
        <w:t xml:space="preserve">rendering of a durable concept</w:t>
      </w:r>
      <w:r>
        <w:t xml:space="preserve"> </w:t>
      </w:r>
      <w:r>
        <w:t xml:space="preserve">(doctrine/08): the concept column never changes, the artifact column is versioned. That is the architecture’s central design bet, and it is a bet a researcher can examine.</w:t>
      </w:r>
    </w:p>
    <w:p>
      <w:pPr>
        <w:pStyle w:val="BodyText"/>
      </w:pPr>
      <w:r>
        <w:rPr>
          <w:b/>
          <w:bCs/>
        </w:rPr>
        <w:t xml:space="preserve">The hidden assumptions.</w:t>
      </w:r>
      <w:r>
        <w:t xml:space="preserve"> </w:t>
      </w:r>
      <w:r>
        <w:t xml:space="preserve">That the encoding is faithful to the concept (a machine rule can drift from the doctrine it renders); that the versioning discipline actually keeps human and machine in lockstep; that the five artifact families are the right decomposition; that</w:t>
      </w:r>
      <w:r>
        <w:t xml:space="preserve"> </w:t>
      </w:r>
      <w:r>
        <w:t xml:space="preserve">“</w:t>
      </w:r>
      <w:r>
        <w:t xml:space="preserve">versioned</w:t>
      </w:r>
      <w:r>
        <w:t xml:space="preserve">”</w:t>
      </w:r>
      <w:r>
        <w:t xml:space="preserve"> </w:t>
      </w:r>
      <w:r>
        <w:t xml:space="preserve">means</w:t>
      </w:r>
      <w:r>
        <w:t xml:space="preserve"> </w:t>
      </w:r>
      <w:r>
        <w:t xml:space="preserve">“</w:t>
      </w:r>
      <w:r>
        <w:t xml:space="preserve">honest</w:t>
      </w:r>
      <w:r>
        <w:t xml:space="preserve">”</w:t>
      </w:r>
      <w:r>
        <w:t xml:space="preserve"> </w:t>
      </w:r>
      <w:r>
        <w:t xml:space="preserve">rather than merely</w:t>
      </w:r>
      <w:r>
        <w:t xml:space="preserve"> </w:t>
      </w:r>
      <w:r>
        <w:t xml:space="preserve">“</w:t>
      </w:r>
      <w:r>
        <w:t xml:space="preserve">tagged.</w:t>
      </w:r>
      <w:r>
        <w:t xml:space="preserve">”</w:t>
      </w:r>
    </w:p>
    <w:p>
      <w:pPr>
        <w:pStyle w:val="BodyText"/>
      </w:pPr>
      <w:r>
        <w:rPr>
          <w:b/>
          <w:bCs/>
        </w:rPr>
        <w:t xml:space="preserve">Design exercise.</w:t>
      </w:r>
      <w:r>
        <w:t xml:space="preserve"> </w:t>
      </w:r>
      <w:r>
        <w:t xml:space="preserve">Take one doctrine chapter (e.g., doctrine/05, scoring) and map what each artifact family would encode for it — one rule, one formula, one playbook step, one prompt, one corpus entry. Then rank the artifacts by</w:t>
      </w:r>
      <w:r>
        <w:t xml:space="preserve"> </w:t>
      </w:r>
      <w:r>
        <w:rPr>
          <w:i/>
          <w:iCs/>
        </w:rPr>
        <w:t xml:space="preserve">checkability</w:t>
      </w:r>
      <w:r>
        <w:t xml:space="preserve">: which claims could a researcher actually test against the market?</w:t>
      </w:r>
    </w:p>
    <w:p>
      <w:pPr>
        <w:pStyle w:val="BodyText"/>
      </w:pPr>
      <w:r>
        <w:rPr>
          <w:b/>
          <w:bCs/>
        </w:rPr>
        <w:t xml:space="preserve">Reading.</w:t>
      </w:r>
      <w:r>
        <w:t xml:space="preserve"> </w:t>
      </w:r>
      <w:r>
        <w:t xml:space="preserve">doctrine/08 in full; align/concept-to-system-map.md (the seam that keeps the renderings in lockstep); modules/doctoral/research-agenda.md §2 (the data environment).</w:t>
      </w:r>
    </w:p>
    <w:bookmarkEnd w:id="25"/>
    <w:bookmarkStart w:id="26" w:name="Xf267586de0ad35c3607b3c9bf82b4200f97b952"/>
    <w:p>
      <w:pPr>
        <w:pStyle w:val="Heading2"/>
      </w:pPr>
      <w:r>
        <w:t xml:space="preserve">Session 2 — Rules and formulas: the arithmetic of the machine</w:t>
      </w:r>
    </w:p>
    <w:p>
      <w:pPr>
        <w:pStyle w:val="FirstParagraph"/>
      </w:pPr>
      <w:r>
        <w:rPr>
          <w:b/>
          <w:bCs/>
        </w:rPr>
        <w:t xml:space="preserve">The claim.</w:t>
      </w:r>
      <w:r>
        <w:t xml:space="preserve"> </w:t>
      </w:r>
      <w:r>
        <w:t xml:space="preserve">The machine’s rules and formulas — the pWin composite, the bid/no-bid rubric, the pricing floor — encode the discipline’s arithmetic, and the arithmetic predicts.</w:t>
      </w:r>
    </w:p>
    <w:p>
      <w:pPr>
        <w:pStyle w:val="BodyText"/>
      </w:pPr>
      <w:r>
        <w:rPr>
          <w:b/>
          <w:bCs/>
        </w:rPr>
        <w:t xml:space="preserve">The machinery, at concept level.</w:t>
      </w:r>
      <w:r>
        <w:t xml:space="preserve"> </w:t>
      </w:r>
      <w:r>
        <w:t xml:space="preserve">The pWin composite is a weighted sum of factor scores (past performance, technical capability, price competitiveness, incumbent/relationship advantage, team strength, customer knowledge, strategic alignment), normalized to [0,1], with recommendation thresholds keyed to the score. The bid/no-bid rubric maps factor conditions to a disposition (bid / bid-with-conditions / no-bid). The pricing floor enforces a margin minimum per contract type. Each is a measurement instrument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a decision rule — and the discipline’s DL 903 already teaches how to treat a composite as an instrument.</w:t>
      </w:r>
    </w:p>
    <w:p>
      <w:pPr>
        <w:pStyle w:val="BodyText"/>
      </w:pPr>
      <w:r>
        <w:rPr>
          <w:b/>
          <w:bCs/>
        </w:rPr>
        <w:t xml:space="preserve">The hidden assumptions.</w:t>
      </w:r>
      <w:r>
        <w:t xml:space="preserve"> </w:t>
      </w:r>
      <w:r>
        <w:t xml:space="preserve">That the seven factors are the right ones; that the weights are right (or that one set serves all agencies and funder families); that factor scores are assigned reliably by different scorers; that the thresholds sit at the right points; that a formula’s output means what the recommendation says it means.</w:t>
      </w:r>
    </w:p>
    <w:p>
      <w:pPr>
        <w:pStyle w:val="BodyText"/>
      </w:pPr>
      <w:r>
        <w:rPr>
          <w:b/>
          <w:bCs/>
        </w:rPr>
        <w:t xml:space="preserve">The research questions.</w:t>
      </w:r>
      <w:r>
        <w:t xml:space="preserve"> </w:t>
      </w:r>
      <w:r>
        <w:t xml:space="preserve">These are the factor-validation (Thread B) and prediction-calibration (Thread A) questions, now aimed at the</w:t>
      </w:r>
      <w:r>
        <w:t xml:space="preserve"> </w:t>
      </w:r>
      <w:r>
        <w:rPr>
          <w:i/>
          <w:iCs/>
        </w:rPr>
        <w:t xml:space="preserve">encoded</w:t>
      </w:r>
      <w:r>
        <w:t xml:space="preserve"> </w:t>
      </w:r>
      <w:r>
        <w:t xml:space="preserve">arithmetic:</w:t>
      </w:r>
    </w:p>
    <w:p>
      <w:pPr>
        <w:pStyle w:val="Compact"/>
        <w:numPr>
          <w:ilvl w:val="0"/>
          <w:numId w:val="1004"/>
        </w:numPr>
      </w:pPr>
      <w:r>
        <w:t xml:space="preserve">Is the composite calibrated — and in which bands is it over- or under-confident?</w:t>
      </w:r>
    </w:p>
    <w:p>
      <w:pPr>
        <w:pStyle w:val="Compact"/>
        <w:numPr>
          <w:ilvl w:val="0"/>
          <w:numId w:val="1004"/>
        </w:numPr>
      </w:pPr>
      <w:r>
        <w:t xml:space="preserve">Do the hand-set factor weights match what the data show, and do they hold across agencies?</w:t>
      </w:r>
    </w:p>
    <w:p>
      <w:pPr>
        <w:pStyle w:val="Compact"/>
        <w:numPr>
          <w:ilvl w:val="0"/>
          <w:numId w:val="1004"/>
        </w:numPr>
      </w:pPr>
      <w:r>
        <w:t xml:space="preserve">Do two scorers score the same opportunity similarly — or is the composite measuring the scorer?</w:t>
      </w:r>
    </w:p>
    <w:p>
      <w:pPr>
        <w:pStyle w:val="Compact"/>
        <w:numPr>
          <w:ilvl w:val="0"/>
          <w:numId w:val="1004"/>
        </w:numPr>
      </w:pPr>
      <w:r>
        <w:t xml:space="preserve">Are the recommendation thresholds set so the</w:t>
      </w:r>
      <w:r>
        <w:t xml:space="preserve"> </w:t>
      </w:r>
      <w:r>
        <w:rPr>
          <w:i/>
          <w:iCs/>
        </w:rPr>
        <w:t xml:space="preserve">dispositions</w:t>
      </w:r>
      <w:r>
        <w:t xml:space="preserve"> </w:t>
      </w:r>
      <w:r>
        <w:t xml:space="preserve">(bid / no-bid) discriminate outcomes, not just the continuous score?</w:t>
      </w:r>
    </w:p>
    <w:p>
      <w:pPr>
        <w:pStyle w:val="FirstParagraph"/>
      </w:pPr>
      <w:r>
        <w:rPr>
          <w:b/>
          <w:bCs/>
        </w:rPr>
        <w:t xml:space="preserve">Design exercise.</w:t>
      </w:r>
      <w:r>
        <w:t xml:space="preserve"> </w:t>
      </w:r>
      <w:r>
        <w:t xml:space="preserve">Teams design the</w:t>
      </w:r>
      <w:r>
        <w:t xml:space="preserve"> </w:t>
      </w:r>
      <w:r>
        <w:rPr>
          <w:b/>
          <w:bCs/>
        </w:rPr>
        <w:t xml:space="preserve">encoded-formula evaluation</w:t>
      </w:r>
      <w:r>
        <w:t xml:space="preserve">: the data (predicted factor scores and dispositions joined to terminal outcomes for a sample of pursued bids), the model (logistic regression of won/lost on the factors), the measurement checks (inter-rater reliability of factor scoring, calibration statistics — Brier, ECE, reliability diagrams), and the survivorship mitigation. The deliverable is a design that answers</w:t>
      </w:r>
      <w:r>
        <w:t xml:space="preserve"> </w:t>
      </w:r>
      <w:r>
        <w:t xml:space="preserve">“</w:t>
      </w:r>
      <w:r>
        <w:t xml:space="preserve">is the machine’s arithmetic honest?</w:t>
      </w:r>
      <w:r>
        <w:t xml:space="preserve">”</w:t>
      </w:r>
      <w:r>
        <w:t xml:space="preserve"> </w:t>
      </w:r>
      <w:r>
        <w:t xml:space="preserve">with data.</w:t>
      </w:r>
    </w:p>
    <w:p>
      <w:pPr>
        <w:pStyle w:val="BodyText"/>
      </w:pPr>
      <w:r>
        <w:rPr>
          <w:b/>
          <w:bCs/>
        </w:rPr>
        <w:t xml:space="preserve">Reading.</w:t>
      </w:r>
      <w:r>
        <w:t xml:space="preserve"> </w:t>
      </w:r>
      <w:r>
        <w:t xml:space="preserve">doctrine/05; DL 903 Sessions 2–3 (the composite and the calibration question); DL 901 Unit 4 (measurement).</w:t>
      </w:r>
    </w:p>
    <w:bookmarkEnd w:id="26"/>
    <w:bookmarkStart w:id="27" w:name="Xee27871fc7227010db318498da98c5a742d65a8"/>
    <w:p>
      <w:pPr>
        <w:pStyle w:val="Heading2"/>
      </w:pPr>
      <w:r>
        <w:t xml:space="preserve">Session 3 — Playbooks, prompts, and the retrieval corpus: the language of the machine</w:t>
      </w:r>
    </w:p>
    <w:p>
      <w:pPr>
        <w:pStyle w:val="FirstParagraph"/>
      </w:pPr>
      <w:r>
        <w:rPr>
          <w:b/>
          <w:bCs/>
        </w:rPr>
        <w:t xml:space="preserve">The claim.</w:t>
      </w:r>
      <w:r>
        <w:t xml:space="preserve"> </w:t>
      </w:r>
      <w:r>
        <w:t xml:space="preserve">The machine’s prose artifacts — playbooks that sequence work, prompts that instantiate personas, a retrieval corpus that grounds outputs — shape what an agent produces, and that shaping is measurable.</w:t>
      </w:r>
    </w:p>
    <w:p>
      <w:pPr>
        <w:pStyle w:val="BodyText"/>
      </w:pPr>
      <w:r>
        <w:rPr>
          <w:b/>
          <w:bCs/>
        </w:rPr>
        <w:t xml:space="preserve">The machinery, at concept level.</w:t>
      </w:r>
      <w:r>
        <w:t xml:space="preserve"> </w:t>
      </w:r>
      <w:r>
        <w:t xml:space="preserve">Playbooks are structured procedures with named phases (a 14-phase capture arc, a color-team sequence). Prompts are parameterized instructions: a</w:t>
      </w:r>
      <w:r>
        <w:t xml:space="preserve"> </w:t>
      </w:r>
      <w:r>
        <w:rPr>
          <w:i/>
          <w:iCs/>
        </w:rPr>
        <w:t xml:space="preserve">stage operator</w:t>
      </w:r>
      <w:r>
        <w:t xml:space="preserve"> </w:t>
      </w:r>
      <w:r>
        <w:t xml:space="preserve">prompt runs one pipeline stage; a</w:t>
      </w:r>
      <w:r>
        <w:t xml:space="preserve"> </w:t>
      </w:r>
      <w:r>
        <w:rPr>
          <w:i/>
          <w:iCs/>
        </w:rPr>
        <w:t xml:space="preserve">persona</w:t>
      </w:r>
      <w:r>
        <w:t xml:space="preserve"> </w:t>
      </w:r>
      <w:r>
        <w:t xml:space="preserve">prompt instantiates a role (capture manager, bid/no-bid analyst, compliance officer); a</w:t>
      </w:r>
      <w:r>
        <w:t xml:space="preserve"> </w:t>
      </w:r>
      <w:r>
        <w:rPr>
          <w:i/>
          <w:iCs/>
        </w:rPr>
        <w:t xml:space="preserve">critic</w:t>
      </w:r>
      <w:r>
        <w:t xml:space="preserve"> </w:t>
      </w:r>
      <w:r>
        <w:t xml:space="preserve">prompt instantiates an adversarial reader (pink team, red team, black hat, gold team). The retrieval corpus is a curated store the machine draws on to ground its output — past performance, agency win patterns, doctrine text — and it carries the discipline’s integrity standard: documented fact separated from clearly-labeled illustrative material, nothing invented attributed to a real organization.</w:t>
      </w:r>
    </w:p>
    <w:p>
      <w:pPr>
        <w:pStyle w:val="BodyText"/>
      </w:pPr>
      <w:r>
        <w:rPr>
          <w:b/>
          <w:bCs/>
        </w:rPr>
        <w:t xml:space="preserve">The hidden assumptions.</w:t>
      </w:r>
      <w:r>
        <w:t xml:space="preserve"> </w:t>
      </w:r>
      <w:r>
        <w:t xml:space="preserve">That prompts instantiate their personas reliably (the same prompt in the same situation produces the same role behavior); that retrieval returns the right material (and that what is retrieved is what is used); that the corpus is faithful and non-fabricated; that a playbook’s sequence is what produces its outcome.</w:t>
      </w:r>
    </w:p>
    <w:p>
      <w:pPr>
        <w:pStyle w:val="BodyText"/>
      </w:pPr>
      <w:r>
        <w:rPr>
          <w:b/>
          <w:bCs/>
        </w:rPr>
        <w:t xml:space="preserve">The research questions.</w:t>
      </w:r>
      <w:r>
        <w:t xml:space="preserve"> </w:t>
      </w:r>
      <w:r>
        <w:t xml:space="preserve">A distinct thread of evaluation opens here, about</w:t>
      </w:r>
      <w:r>
        <w:t xml:space="preserve"> </w:t>
      </w:r>
      <w:r>
        <w:rPr>
          <w:i/>
          <w:iCs/>
        </w:rPr>
        <w:t xml:space="preserve">language artifacts</w:t>
      </w:r>
      <w:r>
        <w:t xml:space="preserve"> </w:t>
      </w:r>
      <w:r>
        <w:t xml:space="preserve">rather than arithmetic: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Persona reliability.</w:t>
      </w:r>
      <w:r>
        <w:t xml:space="preserve"> </w:t>
      </w:r>
      <w:r>
        <w:t xml:space="preserve">Does a capture-manager prompt produce role-consistent behavior across runs and situations — and how would you measure role-consistency?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Prompt sensitivity.</w:t>
      </w:r>
      <w:r>
        <w:t xml:space="preserve"> </w:t>
      </w:r>
      <w:r>
        <w:t xml:space="preserve">When one element of a prompt changes (the evidence it is told to weigh, the persona it instantiates), does the output change in the intended direction — or does wording noise dominate?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Retrieval quality.</w:t>
      </w:r>
      <w:r>
        <w:t xml:space="preserve"> </w:t>
      </w:r>
      <w:r>
        <w:t xml:space="preserve">Does the retrieval corpus return material that is relevant (precision), complete (recall), and faithful to its sources? Information-retrieval evaluation — precision, recall, normalized discounted cumulative gain (nDCG), mean reciprocal rank (MRR) — supplies the measurement vocabulary, at concept level.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Output fidelity.</w:t>
      </w:r>
      <w:r>
        <w:t xml:space="preserve"> </w:t>
      </w:r>
      <w:r>
        <w:t xml:space="preserve">When the machine produces a capture recommendation, is the reasoning it states actually the reasoning behind the recommendation — or a plausible after-the-fact story?</w:t>
      </w:r>
    </w:p>
    <w:p>
      <w:pPr>
        <w:pStyle w:val="FirstParagraph"/>
      </w:pPr>
      <w:r>
        <w:rPr>
          <w:b/>
          <w:bCs/>
        </w:rPr>
        <w:t xml:space="preserve">Design exercise.</w:t>
      </w:r>
      <w:r>
        <w:t xml:space="preserve"> </w:t>
      </w:r>
      <w:r>
        <w:t xml:space="preserve">Teams design the</w:t>
      </w:r>
      <w:r>
        <w:t xml:space="preserve"> </w:t>
      </w:r>
      <w:r>
        <w:rPr>
          <w:b/>
          <w:bCs/>
        </w:rPr>
        <w:t xml:space="preserve">prose-artifact evaluation study</w:t>
      </w:r>
      <w:r>
        <w:t xml:space="preserve">: a content-analysis protocol (two coders scoring machine outputs against a codebook, with inter-rater reliability — DL 901’s measurement discipline), a retrieval-quality evaluation (relevant vs. retrieved material, judged against a labeled set), and a prompt-ablation logic (change one element, measure the output difference, preregistered before seeing outputs).</w:t>
      </w:r>
    </w:p>
    <w:p>
      <w:pPr>
        <w:pStyle w:val="BodyText"/>
      </w:pPr>
      <w:r>
        <w:rPr>
          <w:b/>
          <w:bCs/>
        </w:rPr>
        <w:t xml:space="preserve">Reading.</w:t>
      </w:r>
      <w:r>
        <w:t xml:space="preserve"> </w:t>
      </w:r>
      <w:r>
        <w:t xml:space="preserve">align/concept-to-system-map.md (the persona/critic/stage rows — the machine’s role structure); DL 901 Unit 4 (reliability); the non-fabrication standard from the dissertation sequence (course/doctoral-dissertation-sequence.md Stage 4).</w:t>
      </w:r>
    </w:p>
    <w:bookmarkEnd w:id="27"/>
    <w:bookmarkStart w:id="28" w:name="X0150fda418e382070fe28ab0a1a4537342de692"/>
    <w:p>
      <w:pPr>
        <w:pStyle w:val="Heading2"/>
      </w:pPr>
      <w:r>
        <w:t xml:space="preserve">Session 4 — Evaluating machine outputs: the validation research program</w:t>
      </w:r>
    </w:p>
    <w:p>
      <w:pPr>
        <w:pStyle w:val="FirstParagraph"/>
      </w:pPr>
      <w:r>
        <w:rPr>
          <w:b/>
          <w:bCs/>
        </w:rPr>
        <w:t xml:space="preserve">The claim.</w:t>
      </w:r>
      <w:r>
        <w:t xml:space="preserve"> </w:t>
      </w:r>
      <w:r>
        <w:t xml:space="preserve">An agent’s capture recommendations can be validated — and the validation record is the research program the discipline needs. The question is not</w:t>
      </w:r>
      <w:r>
        <w:t xml:space="preserve"> </w:t>
      </w:r>
      <w:r>
        <w:t xml:space="preserve">“</w:t>
      </w:r>
      <w:r>
        <w:t xml:space="preserve">does the AI work?</w:t>
      </w:r>
      <w:r>
        <w:t xml:space="preserve">”</w:t>
      </w:r>
      <w:r>
        <w:t xml:space="preserve"> </w:t>
      </w:r>
      <w:r>
        <w:t xml:space="preserve">but</w:t>
      </w:r>
      <w:r>
        <w:t xml:space="preserve"> </w:t>
      </w:r>
      <w:r>
        <w:t xml:space="preserve">“</w:t>
      </w:r>
      <w:r>
        <w:t xml:space="preserve">under what conditions, against what benchmark, and with what observation floor can we say a machine-produced recommendation is trustworthy?</w:t>
      </w:r>
      <w:r>
        <w:t xml:space="preserve">”</w:t>
      </w:r>
    </w:p>
    <w:p>
      <w:pPr>
        <w:pStyle w:val="BodyText"/>
      </w:pPr>
      <w:r>
        <w:rPr>
          <w:b/>
          <w:bCs/>
        </w:rPr>
        <w:t xml:space="preserve">The machinery, at concept level.</w:t>
      </w:r>
      <w:r>
        <w:t xml:space="preserve"> </w:t>
      </w:r>
      <w:r>
        <w:t xml:space="preserve">Evaluation has three layers: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Calibration</w:t>
      </w:r>
      <w:r>
        <w:t xml:space="preserve"> </w:t>
      </w:r>
      <w:r>
        <w:t xml:space="preserve">— are the machine’s probability estimates honest? (A 0.7 recommendation should win roughly 70% of the time; reliability diagrams, Brier score, expected calibration error localize the answer.)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Discrimination</w:t>
      </w:r>
      <w:r>
        <w:t xml:space="preserve"> </w:t>
      </w:r>
      <w:r>
        <w:t xml:space="preserve">— do the machine’s recommendations separate good opportunities from bad ones? (Do pursued-then-recommended opportunities resolve better than pursued-then-warned ones?)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Decision-fidelity</w:t>
      </w:r>
      <w:r>
        <w:t xml:space="preserve"> </w:t>
      </w:r>
      <w:r>
        <w:t xml:space="preserve">— do the humans who act on the machine do</w:t>
      </w:r>
      <w:r>
        <w:t xml:space="preserve"> </w:t>
      </w:r>
      <w:r>
        <w:rPr>
          <w:i/>
          <w:iCs/>
        </w:rPr>
        <w:t xml:space="preserve">better</w:t>
      </w:r>
      <w:r>
        <w:t xml:space="preserve"> </w:t>
      </w:r>
      <w:r>
        <w:t xml:space="preserve">than the humans who do not? (The comparison is agent vs. human vs. agent-plus-human; the ethical and empirical heart of the program.)</w:t>
      </w:r>
    </w:p>
    <w:p>
      <w:pPr>
        <w:pStyle w:val="FirstParagraph"/>
      </w:pPr>
      <w:r>
        <w:t xml:space="preserve">The evaluation substrate is the</w:t>
      </w:r>
      <w:r>
        <w:t xml:space="preserve"> </w:t>
      </w:r>
      <w:r>
        <w:rPr>
          <w:b/>
          <w:bCs/>
        </w:rPr>
        <w:t xml:space="preserve">prediction-and-outcome record</w:t>
      </w:r>
      <w:r>
        <w:t xml:space="preserve"> </w:t>
      </w:r>
      <w:r>
        <w:t xml:space="preserve">— predicted recommendation at decision time joined to the terminal outcome. The discipline’s</w:t>
      </w:r>
      <w:r>
        <w:t xml:space="preserve"> </w:t>
      </w:r>
      <w:r>
        <w:rPr>
          <w:b/>
          <w:bCs/>
        </w:rPr>
        <w:t xml:space="preserve">golden-thread verification</w:t>
      </w:r>
      <w:r>
        <w:t xml:space="preserve"> </w:t>
      </w:r>
      <w:r>
        <w:t xml:space="preserve">(the staged walk of the whole pipeline on a canary company) is its reproducibility pattern: a whole-pipeline evaluation that can be re-run, whose output is a documented artifact.</w:t>
      </w:r>
    </w:p>
    <w:p>
      <w:pPr>
        <w:pStyle w:val="BodyText"/>
      </w:pPr>
      <w:r>
        <w:rPr>
          <w:b/>
          <w:bCs/>
        </w:rPr>
        <w:t xml:space="preserve">The hidden assumptions.</w:t>
      </w:r>
      <w:r>
        <w:t xml:space="preserve"> </w:t>
      </w:r>
      <w:r>
        <w:t xml:space="preserve">That a green golden-thread run certifies the pipeline (a stage labeled</w:t>
      </w:r>
      <w:r>
        <w:t xml:space="preserve"> </w:t>
      </w:r>
      <w:r>
        <w:t xml:space="preserve">“</w:t>
      </w:r>
      <w:r>
        <w:t xml:space="preserve">pass</w:t>
      </w:r>
      <w:r>
        <w:t xml:space="preserve">”</w:t>
      </w:r>
      <w:r>
        <w:t xml:space="preserve"> </w:t>
      </w:r>
      <w:r>
        <w:t xml:space="preserve">can mean</w:t>
      </w:r>
      <w:r>
        <w:t xml:space="preserve"> </w:t>
      </w:r>
      <w:r>
        <w:t xml:space="preserve">“</w:t>
      </w:r>
      <w:r>
        <w:t xml:space="preserve">the check ran,</w:t>
      </w:r>
      <w:r>
        <w:t xml:space="preserve">”</w:t>
      </w:r>
      <w:r>
        <w:t xml:space="preserve"> </w:t>
      </w:r>
      <w:r>
        <w:t xml:space="preserve">not</w:t>
      </w:r>
      <w:r>
        <w:t xml:space="preserve"> </w:t>
      </w:r>
      <w:r>
        <w:t xml:space="preserve">“</w:t>
      </w:r>
      <w:r>
        <w:t xml:space="preserve">the outcome was right</w:t>
      </w:r>
      <w:r>
        <w:t xml:space="preserve">”</w:t>
      </w:r>
      <w:r>
        <w:t xml:space="preserve">); that the evaluation metrics capture what matters; that the observation floor is adequate to separate signal from noise; that</w:t>
      </w:r>
      <w:r>
        <w:t xml:space="preserve"> </w:t>
      </w:r>
      <w:r>
        <w:t xml:space="preserve">“</w:t>
      </w:r>
      <w:r>
        <w:t xml:space="preserve">withdrawn</w:t>
      </w:r>
      <w:r>
        <w:t xml:space="preserve">”</w:t>
      </w:r>
      <w:r>
        <w:t xml:space="preserve"> </w:t>
      </w:r>
      <w:r>
        <w:t xml:space="preserve">really is a non-win.</w:t>
      </w:r>
    </w:p>
    <w:p>
      <w:pPr>
        <w:pStyle w:val="BodyText"/>
      </w:pPr>
      <w:r>
        <w:rPr>
          <w:b/>
          <w:bCs/>
        </w:rPr>
        <w:t xml:space="preserve">The research questions.</w:t>
      </w:r>
      <w:r>
        <w:t xml:space="preserve"> </w:t>
      </w:r>
      <w:r>
        <w:t xml:space="preserve">This is the evaluation-program thread: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The validation framework question.</w:t>
      </w:r>
      <w:r>
        <w:t xml:space="preserve"> </w:t>
      </w:r>
      <w:r>
        <w:t xml:space="preserve">What would a rigorous evaluation of an AI-assisted pursuit pipeline look like — a framework with outcome-based stage criteria instead of health checks? (The golden-thread is the discipline’s answer; a dissertation can design the better one.)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The benchmark question.</w:t>
      </w:r>
      <w:r>
        <w:t xml:space="preserve"> </w:t>
      </w:r>
      <w:r>
        <w:t xml:space="preserve">Against what should machine recommendations be judged — expert judgment, the composite alone, a human-plus-machine ensemble?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The observation-floor question.</w:t>
      </w:r>
      <w:r>
        <w:t xml:space="preserve"> </w:t>
      </w:r>
      <w:r>
        <w:t xml:space="preserve">How many terminal outcomes must accumulate before a validation claim about the machine is trustworthy?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The drift question.</w:t>
      </w:r>
      <w:r>
        <w:t xml:space="preserve"> </w:t>
      </w:r>
      <w:r>
        <w:t xml:space="preserve">Does the machine’s calibration drift as the market, the corpus, or its own usage changes — and does the drift predictably precede a problem?</w:t>
      </w:r>
    </w:p>
    <w:p>
      <w:pPr>
        <w:pStyle w:val="FirstParagraph"/>
      </w:pPr>
      <w:r>
        <w:rPr>
          <w:b/>
          <w:bCs/>
        </w:rPr>
        <w:t xml:space="preserve">Design exercise.</w:t>
      </w:r>
      <w:r>
        <w:t xml:space="preserve"> </w:t>
      </w:r>
      <w:r>
        <w:t xml:space="preserve">Teams design the</w:t>
      </w:r>
      <w:r>
        <w:t xml:space="preserve"> </w:t>
      </w:r>
      <w:r>
        <w:rPr>
          <w:b/>
          <w:bCs/>
        </w:rPr>
        <w:t xml:space="preserve">recommendation-evaluation study</w:t>
      </w:r>
      <w:r>
        <w:t xml:space="preserve">: the data (predicted recommendations + outcomes + the version of the machine), the headline statistics (calibration and discrimination measures), the benchmark comparison, the survivorship mitigation, and the preregistered decision rule for</w:t>
      </w:r>
      <w:r>
        <w:t xml:space="preserve"> </w:t>
      </w:r>
      <w:r>
        <w:t xml:space="preserve">“</w:t>
      </w:r>
      <w:r>
        <w:t xml:space="preserve">this machine is not yet trustworthy.</w:t>
      </w:r>
      <w:r>
        <w:t xml:space="preserve">”</w:t>
      </w:r>
    </w:p>
    <w:p>
      <w:pPr>
        <w:pStyle w:val="BodyText"/>
      </w:pPr>
      <w:r>
        <w:rPr>
          <w:b/>
          <w:bCs/>
        </w:rPr>
        <w:t xml:space="preserve">Reading.</w:t>
      </w:r>
      <w:r>
        <w:t xml:space="preserve"> </w:t>
      </w:r>
      <w:r>
        <w:t xml:space="preserve">research-agenda Threads A and E; DL 902 Movement 3 (calibration) and Movement 2 (logistic regression); DL 903 Session 6 (golden-thread verification as a research pattern).</w:t>
      </w:r>
    </w:p>
    <w:bookmarkEnd w:id="28"/>
    <w:bookmarkStart w:id="29" w:name="Xd07f33e9dce5b0ff57f507e6bd1e0bfbe10a54a"/>
    <w:p>
      <w:pPr>
        <w:pStyle w:val="Heading2"/>
      </w:pPr>
      <w:r>
        <w:t xml:space="preserve">Session 5 — The human-accountability frontier: the Dream Gate as a research object</w:t>
      </w:r>
    </w:p>
    <w:p>
      <w:pPr>
        <w:pStyle w:val="FirstParagraph"/>
      </w:pPr>
      <w:r>
        <w:rPr>
          <w:b/>
          <w:bCs/>
        </w:rPr>
        <w:t xml:space="preserve">The claim.</w:t>
      </w:r>
      <w:r>
        <w:t xml:space="preserve"> </w:t>
      </w:r>
      <w:r>
        <w:t xml:space="preserve">The boundary between what runs automatically and what a human stays Accountable for is the discipline’s most consequential governance design — and the Dream Gate is where that boundary is exercised. The Gate is not just infrastructure; it is a decision structure worth studying as carefully as the pWin composite.</w:t>
      </w:r>
    </w:p>
    <w:p>
      <w:pPr>
        <w:pStyle w:val="BodyText"/>
      </w:pPr>
      <w:r>
        <w:rPr>
          <w:b/>
          <w:bCs/>
        </w:rPr>
        <w:t xml:space="preserve">The machinery, at concept level.</w:t>
      </w:r>
      <w:r>
        <w:t xml:space="preserve"> </w:t>
      </w:r>
      <w:r>
        <w:t xml:space="preserve">A gate is a decision structure with four parts: a</w:t>
      </w:r>
      <w:r>
        <w:t xml:space="preserve"> </w:t>
      </w:r>
      <w:r>
        <w:rPr>
          <w:b/>
          <w:bCs/>
        </w:rPr>
        <w:t xml:space="preserve">trigger</w:t>
      </w:r>
      <w:r>
        <w:t xml:space="preserve"> </w:t>
      </w:r>
      <w:r>
        <w:t xml:space="preserve">(an event that fires it),</w:t>
      </w:r>
      <w:r>
        <w:t xml:space="preserve"> </w:t>
      </w:r>
      <w:r>
        <w:rPr>
          <w:b/>
          <w:bCs/>
        </w:rPr>
        <w:t xml:space="preserve">criteria</w:t>
      </w:r>
      <w:r>
        <w:t xml:space="preserve"> </w:t>
      </w:r>
      <w:r>
        <w:t xml:space="preserve">(written in advance), a</w:t>
      </w:r>
      <w:r>
        <w:t xml:space="preserve"> </w:t>
      </w:r>
      <w:r>
        <w:rPr>
          <w:b/>
          <w:bCs/>
        </w:rPr>
        <w:t xml:space="preserve">decision</w:t>
      </w:r>
      <w:r>
        <w:t xml:space="preserve"> </w:t>
      </w:r>
      <w:r>
        <w:t xml:space="preserve">(approve / change / reject), and an</w:t>
      </w:r>
      <w:r>
        <w:t xml:space="preserve"> </w:t>
      </w:r>
      <w:r>
        <w:rPr>
          <w:b/>
          <w:bCs/>
        </w:rPr>
        <w:t xml:space="preserve">owner</w:t>
      </w:r>
      <w:r>
        <w:t xml:space="preserve"> </w:t>
      </w:r>
      <w:r>
        <w:t xml:space="preserve">(the human or role accountable). The Gate has a</w:t>
      </w:r>
      <w:r>
        <w:t xml:space="preserve"> </w:t>
      </w:r>
      <w:r>
        <w:rPr>
          <w:b/>
          <w:bCs/>
        </w:rPr>
        <w:t xml:space="preserve">mode</w:t>
      </w:r>
      <w:r>
        <w:t xml:space="preserve">:</w:t>
      </w:r>
      <w:r>
        <w:t xml:space="preserve"> </w:t>
      </w:r>
      <w:r>
        <w:rPr>
          <w:i/>
          <w:iCs/>
        </w:rPr>
        <w:t xml:space="preserve">advisory</w:t>
      </w:r>
      <w:r>
        <w:t xml:space="preserve"> </w:t>
      </w:r>
      <w:r>
        <w:t xml:space="preserve">(the machine recommends, the human decides) or</w:t>
      </w:r>
      <w:r>
        <w:t xml:space="preserve"> </w:t>
      </w:r>
      <w:r>
        <w:rPr>
          <w:i/>
          <w:iCs/>
        </w:rPr>
        <w:t xml:space="preserve">blocking</w:t>
      </w:r>
      <w:r>
        <w:t xml:space="preserve"> </w:t>
      </w:r>
      <w:r>
        <w:t xml:space="preserve">(the machine waits for the human). The discipline’s Accountable boundary — the ADR 0016 idea that humans stay Accountable for irreversible gates — draws the line between what an agent runs and what a person owns. The Gate delivers one canonical approval card across channels, so every approval is a recorded, auditable decision.</w:t>
      </w:r>
    </w:p>
    <w:p>
      <w:pPr>
        <w:pStyle w:val="BodyText"/>
      </w:pPr>
      <w:r>
        <w:rPr>
          <w:b/>
          <w:bCs/>
        </w:rPr>
        <w:t xml:space="preserve">The hidden assumptions.</w:t>
      </w:r>
      <w:r>
        <w:t xml:space="preserve"> </w:t>
      </w:r>
      <w:r>
        <w:t xml:space="preserve">That the boundary is drawn in the right place (that the right decisions are the human-owned ones); that human oversight actually improves outcomes (rather than adding friction or rubber-stamping); that gate</w:t>
      </w:r>
      <w:r>
        <w:t xml:space="preserve"> </w:t>
      </w:r>
      <w:r>
        <w:rPr>
          <w:i/>
          <w:iCs/>
        </w:rPr>
        <w:t xml:space="preserve">mode</w:t>
      </w:r>
      <w:r>
        <w:t xml:space="preserve"> </w:t>
      </w:r>
      <w:r>
        <w:t xml:space="preserve">changes decisions (that a blocking gate behaves differently from an advisory one); that gate discipline — criteria written before the work — is worth its cost.</w:t>
      </w:r>
    </w:p>
    <w:p>
      <w:pPr>
        <w:pStyle w:val="BodyText"/>
      </w:pPr>
      <w:r>
        <w:rPr>
          <w:b/>
          <w:bCs/>
        </w:rPr>
        <w:t xml:space="preserve">The research questions.</w:t>
      </w:r>
      <w:r>
        <w:t xml:space="preserve"> </w:t>
      </w:r>
      <w:r>
        <w:t xml:space="preserve">This is the decision-and-governance thread (Thread D) aimed at the machine’s human frontier:</w:t>
      </w:r>
    </w:p>
    <w:p>
      <w:pPr>
        <w:pStyle w:val="Compact"/>
        <w:numPr>
          <w:ilvl w:val="0"/>
          <w:numId w:val="1008"/>
        </w:numPr>
      </w:pPr>
      <w:r>
        <w:t xml:space="preserve">Does</w:t>
      </w:r>
      <w:r>
        <w:t xml:space="preserve"> </w:t>
      </w:r>
      <w:r>
        <w:rPr>
          <w:b/>
          <w:bCs/>
        </w:rPr>
        <w:t xml:space="preserve">gate mode</w:t>
      </w:r>
      <w:r>
        <w:t xml:space="preserve"> </w:t>
      </w:r>
      <w:r>
        <w:t xml:space="preserve">change decisions? A field-experiment or quasi-experimental question: when the same class of decision moves from advisory to blocking (or back), do approval patterns and outcomes change?</w:t>
      </w:r>
    </w:p>
    <w:p>
      <w:pPr>
        <w:pStyle w:val="Compact"/>
        <w:numPr>
          <w:ilvl w:val="0"/>
          <w:numId w:val="1008"/>
        </w:numPr>
      </w:pPr>
      <w:r>
        <w:t xml:space="preserve">Does</w:t>
      </w:r>
      <w:r>
        <w:t xml:space="preserve"> </w:t>
      </w:r>
      <w:r>
        <w:rPr>
          <w:b/>
          <w:bCs/>
        </w:rPr>
        <w:t xml:space="preserve">human gating</w:t>
      </w:r>
      <w:r>
        <w:t xml:space="preserve"> </w:t>
      </w:r>
      <w:r>
        <w:t xml:space="preserve">improve portfolio outcomes — do organizations that gate honestly outperform organizations that delegate more to automation?</w:t>
      </w:r>
    </w:p>
    <w:p>
      <w:pPr>
        <w:pStyle w:val="Compact"/>
        <w:numPr>
          <w:ilvl w:val="0"/>
          <w:numId w:val="1008"/>
        </w:numPr>
      </w:pPr>
      <w:r>
        <w:t xml:space="preserve">Where is the</w:t>
      </w:r>
      <w:r>
        <w:t xml:space="preserve"> </w:t>
      </w:r>
      <w:r>
        <w:rPr>
          <w:b/>
          <w:bCs/>
        </w:rPr>
        <w:t xml:space="preserve">Accountable boundary</w:t>
      </w:r>
      <w:r>
        <w:t xml:space="preserve"> </w:t>
      </w:r>
      <w:r>
        <w:t xml:space="preserve">drawn correctly — which decisions are safe to automate, and which must stay human, on evidence rather than assertion?</w:t>
      </w:r>
    </w:p>
    <w:p>
      <w:pPr>
        <w:pStyle w:val="Compact"/>
        <w:numPr>
          <w:ilvl w:val="0"/>
          <w:numId w:val="1008"/>
        </w:numPr>
      </w:pPr>
      <w:r>
        <w:t xml:space="preserve">Does the</w:t>
      </w:r>
      <w:r>
        <w:t xml:space="preserve"> </w:t>
      </w:r>
      <w:r>
        <w:rPr>
          <w:b/>
          <w:bCs/>
        </w:rPr>
        <w:t xml:space="preserve">record of gate decisions</w:t>
      </w:r>
      <w:r>
        <w:t xml:space="preserve"> </w:t>
      </w:r>
      <w:r>
        <w:t xml:space="preserve">(the approval cards) predict outcomes — is a</w:t>
      </w:r>
      <w:r>
        <w:t xml:space="preserve"> </w:t>
      </w:r>
      <w:r>
        <w:t xml:space="preserve">“</w:t>
      </w:r>
      <w:r>
        <w:t xml:space="preserve">change</w:t>
      </w:r>
      <w:r>
        <w:t xml:space="preserve">”</w:t>
      </w:r>
      <w:r>
        <w:t xml:space="preserve"> </w:t>
      </w:r>
      <w:r>
        <w:t xml:space="preserve">decision a leading indicator of a pursuit that needed work?</w:t>
      </w:r>
    </w:p>
    <w:p>
      <w:pPr>
        <w:pStyle w:val="FirstParagraph"/>
      </w:pPr>
      <w:r>
        <w:rPr>
          <w:b/>
          <w:bCs/>
        </w:rPr>
        <w:t xml:space="preserve">Design exercise.</w:t>
      </w:r>
      <w:r>
        <w:t xml:space="preserve"> </w:t>
      </w:r>
      <w:r>
        <w:t xml:space="preserve">Teams design the</w:t>
      </w:r>
      <w:r>
        <w:t xml:space="preserve"> </w:t>
      </w:r>
      <w:r>
        <w:rPr>
          <w:b/>
          <w:bCs/>
        </w:rPr>
        <w:t xml:space="preserve">gate-evaluation study</w:t>
      </w:r>
      <w:r>
        <w:t xml:space="preserve">: the data (gate records — trigger, criteria, decision, mode, owner, outcome — over a defined window), the design (comparative case or difference-in-differences around a mode change), the measurement (approval rates, change rates, terminal outcomes), and the ethical protocol (human decisions are sensitive organizational data — consent, confidentiality, provenance).</w:t>
      </w:r>
    </w:p>
    <w:p>
      <w:pPr>
        <w:pStyle w:val="BodyText"/>
      </w:pPr>
      <w:r>
        <w:rPr>
          <w:b/>
          <w:bCs/>
        </w:rPr>
        <w:t xml:space="preserve">Reading.</w:t>
      </w:r>
      <w:r>
        <w:t xml:space="preserve"> </w:t>
      </w:r>
      <w:r>
        <w:t xml:space="preserve">doctrine/04 (gates and governance) in full; the Accountable boundary concept as rendered in align/concept-to-system-map.md §4; research-agenda Thread D.</w:t>
      </w:r>
    </w:p>
    <w:p>
      <w:r>
        <w:pict>
          <v:rect style="width:0;height:1.5pt" o:hralign="center" o:hrstd="t" o:hr="t"/>
        </w:pict>
      </w:r>
    </w:p>
    <w:bookmarkEnd w:id="29"/>
    <w:bookmarkStart w:id="30" w:name="research-question-bank"/>
    <w:p>
      <w:pPr>
        <w:pStyle w:val="Heading2"/>
      </w:pPr>
      <w:r>
        <w:t xml:space="preserve">Research-question bank</w:t>
      </w:r>
    </w:p>
    <w:p>
      <w:pPr>
        <w:pStyle w:val="FirstParagraph"/>
      </w:pPr>
      <w:r>
        <w:t xml:space="preserve">Each question is dissertation-sized: researchable, feasible, and a contribution the field needs.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Calibration of the machine rendering.</w:t>
      </w:r>
      <w:r>
        <w:t xml:space="preserve"> </w:t>
      </w:r>
      <w:r>
        <w:t xml:space="preserve">Is the machine’s probability-of-win estimate calibrated — and in which bands is it over- or under-confident, and does calibration hold across agencies and funder families?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Factor validity of the encoded composite.</w:t>
      </w:r>
      <w:r>
        <w:t xml:space="preserve"> </w:t>
      </w:r>
      <w:r>
        <w:t xml:space="preserve">Do the seven factor weights match what the data show, and do they hold across agencies — or is a single weight set a fiction?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Reliability of factor scoring.</w:t>
      </w:r>
      <w:r>
        <w:t xml:space="preserve"> </w:t>
      </w:r>
      <w:r>
        <w:t xml:space="preserve">Do two experienced scorers (or two runs of the machine) score the same opportunity similarly — or is the composite measuring the scorer?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Persona reliability.</w:t>
      </w:r>
      <w:r>
        <w:t xml:space="preserve"> </w:t>
      </w:r>
      <w:r>
        <w:t xml:space="preserve">Does a prompt instantiate its persona consistently — and how would a researcher measure role-consistency across situations and runs?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Retrieval quality.</w:t>
      </w:r>
      <w:r>
        <w:t xml:space="preserve"> </w:t>
      </w:r>
      <w:r>
        <w:t xml:space="preserve">Does the retrieval corpus return material that is relevant, complete, and faithful — and does retrieval quality predict output quality?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The validation framework.</w:t>
      </w:r>
      <w:r>
        <w:t xml:space="preserve"> </w:t>
      </w:r>
      <w:r>
        <w:t xml:space="preserve">What would a rigorous evaluation of an AI-assisted pursuit pipeline look like — a framework with outcome-based stage criteria instead of health checks?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The benchmark question.</w:t>
      </w:r>
      <w:r>
        <w:t xml:space="preserve"> </w:t>
      </w:r>
      <w:r>
        <w:t xml:space="preserve">Do machine recommendations, human judgment, or a human-plus-machine ensemble calibrate and discriminate best — and under what conditions?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Gate mode and outcomes.</w:t>
      </w:r>
      <w:r>
        <w:t xml:space="preserve"> </w:t>
      </w:r>
      <w:r>
        <w:t xml:space="preserve">Does moving a decision class from advisory to blocking (or back) change approval patterns and terminal outcomes?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The Accountable boundary.</w:t>
      </w:r>
      <w:r>
        <w:t xml:space="preserve"> </w:t>
      </w:r>
      <w:r>
        <w:t xml:space="preserve">Which decisions can be safely automated, and which must stay human — and is the discipline’s current boundary drawn in the right place?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Drift and the versioning discipline.</w:t>
      </w:r>
      <w:r>
        <w:t xml:space="preserve"> </w:t>
      </w:r>
      <w:r>
        <w:t xml:space="preserve">Does the machine’s calibration drift as the market, the corpus, or its own usage changes — and does the versioning discipline’s lockstep claim hold?</w:t>
      </w:r>
    </w:p>
    <w:bookmarkEnd w:id="30"/>
    <w:bookmarkStart w:id="31" w:name="reading-list"/>
    <w:p>
      <w:pPr>
        <w:pStyle w:val="Heading2"/>
      </w:pPr>
      <w:r>
        <w:t xml:space="preserve">Reading list</w:t>
      </w:r>
    </w:p>
    <w:p>
      <w:pPr>
        <w:pStyle w:val="FirstParagraph"/>
      </w:pPr>
      <w:r>
        <w:t xml:space="preserve">The module is stack-agnostic; the reading is concept-first. Named concepts and schools, not pirated material: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The doctrine, as the durable object the machine renders:</w:t>
      </w:r>
      <w:r>
        <w:t xml:space="preserve"> </w:t>
      </w:r>
      <w:r>
        <w:t xml:space="preserve">doctrine/03 (the pipeline), doctrine/04 (gates), doctrine/05 (scoring), doctrine/08 (the two-layer rule). The machine is studied as a</w:t>
      </w:r>
      <w:r>
        <w:t xml:space="preserve"> </w:t>
      </w:r>
      <w:r>
        <w:rPr>
          <w:i/>
          <w:iCs/>
        </w:rPr>
        <w:t xml:space="preserve">rendering</w:t>
      </w:r>
      <w:r>
        <w:t xml:space="preserve"> </w:t>
      </w:r>
      <w:r>
        <w:t xml:space="preserve">of these concepts.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The seam:</w:t>
      </w:r>
      <w:r>
        <w:t xml:space="preserve"> </w:t>
      </w:r>
      <w:r>
        <w:rPr>
          <w:rStyle w:val="VerbatimChar"/>
        </w:rPr>
        <w:t xml:space="preserve">align/concept-to-system-map.md</w:t>
      </w:r>
      <w:r>
        <w:t xml:space="preserve"> </w:t>
      </w:r>
      <w:r>
        <w:t xml:space="preserve">— the correspondence table that maps each durable concept to its versioned machine encoding; and the DNA corpus index (</w:t>
      </w:r>
      <w:r>
        <w:rPr>
          <w:rStyle w:val="VerbatimChar"/>
        </w:rPr>
        <w:t xml:space="preserve">align/dna-corpus-full-index.md</w:t>
      </w:r>
      <w:r>
        <w:t xml:space="preserve">) for the artifact inventory.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The empirical-design posture:</w:t>
      </w:r>
      <w:r>
        <w:t xml:space="preserve"> </w:t>
      </w:r>
      <w:r>
        <w:t xml:space="preserve">DL 901 (measurement and design), DL 902 (statistics and calibration), DL 903 (the machinery as a research object) — the methods this module assumes and deepens.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Judgment and calibration:</w:t>
      </w:r>
      <w:r>
        <w:t xml:space="preserve"> </w:t>
      </w:r>
      <w:r>
        <w:t xml:space="preserve">the research program on judgment under uncertainty (Kahneman and Tversky’s heuristics-and-biases program); the statistical concepts of calibration — Brier score, expected calibration error, reliability diagrams; the winner’s-curse and reference-class forecasting traditions.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Information-retrieval evaluation:</w:t>
      </w:r>
      <w:r>
        <w:t xml:space="preserve"> </w:t>
      </w:r>
      <w:r>
        <w:t xml:space="preserve">the measurement concepts of precision, recall, normalized discounted cumulative gain (nDCG), and mean reciprocal rank (MRR) — the vocabulary for judging whether retrieval returns the right material.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Automation and oversight:</w:t>
      </w:r>
      <w:r>
        <w:t xml:space="preserve"> </w:t>
      </w:r>
      <w:r>
        <w:t xml:space="preserve">the human-in-the-loop / human-on-the-loop oversight concepts, and the literature on automation trust and reliance — the scholarly frame for the Accountable boundary.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Reproducibility:</w:t>
      </w:r>
      <w:r>
        <w:t xml:space="preserve"> </w:t>
      </w:r>
      <w:r>
        <w:t xml:space="preserve">the golden-thread verification pattern as a reproducible-research pattern, and the replication benchmark from the dissertation sequence.</w:t>
      </w:r>
    </w:p>
    <w:bookmarkEnd w:id="31"/>
    <w:bookmarkStart w:id="32" w:name="dissertation-tie-in"/>
    <w:p>
      <w:pPr>
        <w:pStyle w:val="Heading2"/>
      </w:pPr>
      <w:r>
        <w:t xml:space="preserve">Dissertation tie-in</w:t>
      </w:r>
    </w:p>
    <w:p>
      <w:pPr>
        <w:pStyle w:val="FirstParagraph"/>
      </w:pPr>
      <w:r>
        <w:t xml:space="preserve">This module feeds three places on the research agenda at once. The</w:t>
      </w:r>
      <w:r>
        <w:t xml:space="preserve"> </w:t>
      </w:r>
      <w:r>
        <w:rPr>
          <w:b/>
          <w:bCs/>
        </w:rPr>
        <w:t xml:space="preserve">validation-framework question</w:t>
      </w:r>
      <w:r>
        <w:t xml:space="preserve"> </w:t>
      </w:r>
      <w:r>
        <w:t xml:space="preserve">is the methodology contribution — the dissertation that designs</w:t>
      </w:r>
      <w:r>
        <w:t xml:space="preserve"> </w:t>
      </w:r>
      <w:r>
        <w:t xml:space="preserve">“</w:t>
      </w:r>
      <w:r>
        <w:t xml:space="preserve">how to know an AI-assisted pursuit pipeline works</w:t>
      </w:r>
      <w:r>
        <w:t xml:space="preserve">”</w:t>
      </w:r>
      <w:r>
        <w:t xml:space="preserve"> </w:t>
      </w:r>
      <w:r>
        <w:t xml:space="preserve">with outcome-based stage criteria. The</w:t>
      </w:r>
      <w:r>
        <w:t xml:space="preserve"> </w:t>
      </w:r>
      <w:r>
        <w:rPr>
          <w:b/>
          <w:bCs/>
        </w:rPr>
        <w:t xml:space="preserve">calibration and factor questions</w:t>
      </w:r>
      <w:r>
        <w:t xml:space="preserve"> </w:t>
      </w:r>
      <w:r>
        <w:t xml:space="preserve">are Threads A and B — the evidence that the machine’s arithmetic is honest. The</w:t>
      </w:r>
      <w:r>
        <w:t xml:space="preserve"> </w:t>
      </w:r>
      <w:r>
        <w:rPr>
          <w:b/>
          <w:bCs/>
        </w:rPr>
        <w:t xml:space="preserve">gate and Accountable-boundary questions</w:t>
      </w:r>
      <w:r>
        <w:t xml:space="preserve"> </w:t>
      </w:r>
      <w:r>
        <w:t xml:space="preserve">are Thread D — the evidence that the human frontier is drawn correctly. A dissertation from this module typically lands on one: a validation framework, a calibration study of the machine rendering, or a gate-evaluation study.</w:t>
      </w:r>
    </w:p>
    <w:bookmarkEnd w:id="32"/>
    <w:bookmarkStart w:id="33" w:name="the-seminar-in-two-sentences"/>
    <w:p>
      <w:pPr>
        <w:pStyle w:val="Heading2"/>
      </w:pPr>
      <w:r>
        <w:t xml:space="preserve">The seminar in two sentences</w:t>
      </w:r>
    </w:p>
    <w:p>
      <w:pPr>
        <w:pStyle w:val="FirstParagraph"/>
      </w:pPr>
      <w:r>
        <w:t xml:space="preserve">The discipline now has a machine rendering that makes checkable claims — and the machine’s recommendations can only be trusted if somebody builds the evaluation program that tests them. This seminar trains the researchers who will: read the machine rendering as a research object, design the studies that validate its outputs, and test where the human must stay Accountable.</w:t>
      </w:r>
      <w:r>
        <w:t xml:space="preserve"> </w:t>
      </w:r>
      <w:r>
        <w:rPr>
          <w:b/>
          <w:bCs/>
        </w:rPr>
        <w:t xml:space="preserve">The AI layer is a claim about the doctrine — and every claim can be tested.</w:t>
      </w:r>
    </w:p>
    <w:bookmarkEnd w:id="33"/>
    <w:bookmarkStart w:id="34" w:name="reflection-questions"/>
    <w:p>
      <w:pPr>
        <w:pStyle w:val="Heading2"/>
      </w:pPr>
      <w:r>
        <w:t xml:space="preserve">Reflection questions</w:t>
      </w:r>
    </w:p>
    <w:p>
      <w:pPr>
        <w:pStyle w:val="Compact"/>
        <w:numPr>
          <w:ilvl w:val="0"/>
          <w:numId w:val="1011"/>
        </w:numPr>
      </w:pPr>
      <w:r>
        <w:t xml:space="preserve">Which claim of the machine rendering do you most suspect is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true — a factor weight, a persona’s reliability, a gate’s boundary — and what would your study show if your suspicion were right?</w:t>
      </w:r>
    </w:p>
    <w:p>
      <w:pPr>
        <w:pStyle w:val="Compact"/>
        <w:numPr>
          <w:ilvl w:val="0"/>
          <w:numId w:val="1011"/>
        </w:numPr>
      </w:pPr>
      <w:r>
        <w:t xml:space="preserve">For a machine recommendation to be trustworthy, what is the single study you would want to see first — and can you design it with the data you could obtain?</w:t>
      </w:r>
    </w:p>
    <w:p>
      <w:pPr>
        <w:pStyle w:val="Compact"/>
        <w:numPr>
          <w:ilvl w:val="0"/>
          <w:numId w:val="1011"/>
        </w:numPr>
      </w:pPr>
      <w:r>
        <w:t xml:space="preserve">If your study is published and a capture executive reads it, what is the one sentence of guidance about trusting the AI layer they should be able to take away?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21" Type="http://schemas.openxmlformats.org/officeDocument/2006/relationships/hyperlink" Target="../../align/concept-to-system-map.md" TargetMode="External"/><Relationship Id="rId7" Type="http://schemas.openxmlformats.org/officeDocument/2006/relationships/footnotes" Target="footnotes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20" Type="http://schemas.openxmlformats.org/officeDocument/2006/relationships/hyperlink" Target="../../doctrine/08-tools-change-concepts-dont.md" TargetMode="Externa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24" Type="http://schemas.openxmlformats.org/officeDocument/2006/relationships/customXml" Target="../customXml/item2.xml"/><Relationship Id="rId5" Type="http://schemas.openxmlformats.org/officeDocument/2006/relationships/fontTable" Target="fontTable.xml"/><Relationship Id="rId23" Type="http://schemas.openxmlformats.org/officeDocument/2006/relationships/customXml" Target="../customXml/item1.xml"/><Relationship Id="rId4" Type="http://schemas.openxmlformats.org/officeDocument/2006/relationships/webSettings" Target="webSettings.xml"/><Relationship Id="rId22" Type="http://schemas.openxmlformats.org/officeDocument/2006/relationships/hyperlink" Target="../../modules/doctoral/research-agenda.md" TargetMode="Externa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align/concept-to-system-map.md" TargetMode="External" /><Relationship Type="http://schemas.openxmlformats.org/officeDocument/2006/relationships/hyperlink" Id="rId20" Target="../../doctrine/08-tools-change-concepts-dont.md" TargetMode="External" /><Relationship Type="http://schemas.openxmlformats.org/officeDocument/2006/relationships/hyperlink" Id="rId22" Target="../../modules/doctoral/research-agenda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16B03A1B-E266-458A-A6DC-4CE3A52DAD61}"/>
</file>

<file path=customXml/itemProps2.xml><?xml version="1.0" encoding="utf-8"?>
<ds:datastoreItem xmlns:ds="http://schemas.openxmlformats.org/officeDocument/2006/customXml" ds:itemID="{71843478-18C9-495E-89C3-D79FD5F445F5}"/>
</file>

<file path=customXml/itemProps3.xml><?xml version="1.0" encoding="utf-8"?>
<ds:datastoreItem xmlns:ds="http://schemas.openxmlformats.org/officeDocument/2006/customXml" ds:itemID="{CE7FEB34-E9B1-4BD3-B72E-2F8BE7BDAB9A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2026-08-05T17:25:12Z</dcterms:created>
  <dcterms:modified xsi:type="dcterms:W3CDTF">2026-08-05T17:25:12Z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