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assessments-and-rubric"/>
    <w:p>
      <w:pPr>
        <w:pStyle w:val="Heading1"/>
      </w:pPr>
      <w:r>
        <w:t xml:space="preserve">Assessments and Rubric</w:t>
      </w:r>
    </w:p>
    <w:p>
      <w:pPr>
        <w:pStyle w:val="FirstParagraph"/>
      </w:pPr>
      <w:r>
        <w:rPr>
          <w:i/>
          <w:iCs/>
        </w:rPr>
        <w:t xml:space="preserve">The course has three graded layers: weekly assignments, a midterm, and the capstone. Everything is designed to test the concept, never the tool (doctrine/08). A cross-cutting assessment bank — an ethics scenario and a Section-K reps/certs register — sits below the layers and can be slotted into any of them. This file is the grading contract — students and graders share it.</w:t>
      </w:r>
    </w:p>
    <w:bookmarkStart w:id="20" w:name="philosophy-of-assessment"/>
    <w:p>
      <w:pPr>
        <w:pStyle w:val="Heading2"/>
      </w:pPr>
      <w:r>
        <w:t xml:space="preserve">Philosophy of assessment</w:t>
      </w:r>
    </w:p>
    <w:p>
      <w:pPr>
        <w:pStyle w:val="FirstParagraph"/>
      </w:pPr>
      <w:r>
        <w:t xml:space="preserve">Three principles: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Concepts, not recall.</w:t>
      </w:r>
      <w:r>
        <w:t xml:space="preserve"> </w:t>
      </w:r>
      <w:r>
        <w:t xml:space="preserve">We test whether a student can</w:t>
      </w:r>
      <w:r>
        <w:t xml:space="preserve"> </w:t>
      </w:r>
      <w:r>
        <w:rPr>
          <w:i/>
          <w:iCs/>
        </w:rPr>
        <w:t xml:space="preserve">do</w:t>
      </w:r>
      <w:r>
        <w:t xml:space="preserve"> </w:t>
      </w:r>
      <w:r>
        <w:t xml:space="preserve">the discipline — read a document, build a structure, make a call — not whether they can recite definitions.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rubric is public.</w:t>
      </w:r>
      <w:r>
        <w:t xml:space="preserve"> </w:t>
      </w:r>
      <w:r>
        <w:t xml:space="preserve">Students see exactly how their work is judged before they do it. This mirrors the doctrine’s own discipline: criteria written before the work begins.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Real artifacts.</w:t>
      </w:r>
      <w:r>
        <w:t xml:space="preserve"> </w:t>
      </w:r>
      <w:r>
        <w:t xml:space="preserve">Every major assessment is built on a real, published solicitation. There is no</w:t>
      </w:r>
      <w:r>
        <w:t xml:space="preserve"> </w:t>
      </w:r>
      <w:r>
        <w:t xml:space="preserve">“</w:t>
      </w:r>
      <w:r>
        <w:t xml:space="preserve">invent an RFP</w:t>
      </w:r>
      <w:r>
        <w:t xml:space="preserve">”</w:t>
      </w:r>
      <w:r>
        <w:t xml:space="preserve"> </w:t>
      </w:r>
      <w:r>
        <w:t xml:space="preserve">in this course.</w:t>
      </w:r>
    </w:p>
    <w:bookmarkEnd w:id="20"/>
    <w:bookmarkStart w:id="21" w:name="layer-1-weekly-assignments-30"/>
    <w:p>
      <w:pPr>
        <w:pStyle w:val="Heading2"/>
      </w:pPr>
      <w:r>
        <w:t xml:space="preserve">Layer 1 — Weekly assignments (30%)</w:t>
      </w:r>
    </w:p>
    <w:p>
      <w:pPr>
        <w:pStyle w:val="FirstParagraph"/>
      </w:pPr>
      <w:r>
        <w:t xml:space="preserve">Each weekly assignment is a concrete deliverable. Graded on a 4-point scale for each criterion: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— 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— 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— Developing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— Not yet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Correctness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 structure, right facts, no material errors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 structure, minor errors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Partially correct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 errors or fabrications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Completeness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part of the prompt addressed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part thin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Several parts thin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 omissions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Doctrine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Correctly applies the doctrine (pipeline, gates, ORBITAL)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Applies most of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Superficial application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visible doctrine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Clarity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reader can act on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Hard to follow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Unusable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claim grounded — in the solicitation, a proof point, or a published record; no unsupported assertions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Claims mostly grounded; an occasional assertion without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Several claims asserted without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Unsupported or fabricated assertions throughout</w:t>
            </w:r>
          </w:p>
        </w:tc>
      </w:tr>
    </w:tbl>
    <w:p>
      <w:pPr>
        <w:pStyle w:val="BodyText"/>
      </w:pPr>
      <w:r>
        <w:rPr>
          <w:b/>
          <w:bCs/>
        </w:rPr>
        <w:t xml:space="preserve">What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Evidence</w:t>
      </w:r>
      <w:r>
        <w:rPr>
          <w:b/>
          <w:bCs/>
        </w:rPr>
        <w:t xml:space="preserve">”</w:t>
      </w:r>
      <w:r>
        <w:rPr>
          <w:b/>
          <w:bCs/>
        </w:rPr>
        <w:t xml:space="preserve"> </w:t>
      </w:r>
      <w:r>
        <w:rPr>
          <w:b/>
          <w:bCs/>
        </w:rPr>
        <w:t xml:space="preserve">means.</w:t>
      </w:r>
      <w:r>
        <w:t xml:space="preserve"> </w:t>
      </w:r>
      <w:r>
        <w:t xml:space="preserve">The first four criteria test whether the work is right, complete, doctrinal, and readable. Evidence tests whether the work is</w:t>
      </w:r>
      <w:r>
        <w:t xml:space="preserve"> </w:t>
      </w:r>
      <w:r>
        <w:rPr>
          <w:i/>
          <w:iCs/>
        </w:rPr>
        <w:t xml:space="preserve">supportable</w:t>
      </w:r>
      <w:r>
        <w:t xml:space="preserve"> </w:t>
      </w:r>
      <w:r>
        <w:t xml:space="preserve">— and it is the criterion most often missing in real proposals. A pWin asserted without a factor-by-factor defense is not an estimate, it is a guess (doctrine/05). A compliance claim without a section-and-page citation is not compliance, it is decoration. Evidence rewards claims a student could defend to an evaluator or a hostile board: grounded in the solicitation’s own language, backed by a proof point or a published record, and never asserted because it sounds right. It also mirrors the capstone rubric’s</w:t>
      </w:r>
      <w:r>
        <w:t xml:space="preserve"> </w:t>
      </w:r>
      <w:r>
        <w:t xml:space="preserve">“</w:t>
      </w:r>
      <w:r>
        <w:t xml:space="preserve">Score and bid/no-bid</w:t>
      </w:r>
      <w:r>
        <w:t xml:space="preserve">”</w:t>
      </w:r>
      <w:r>
        <w:t xml:space="preserve"> </w:t>
      </w:r>
      <w:r>
        <w:t xml:space="preserve">dimension, which already tests this discipline at full weight.</w:t>
      </w:r>
    </w:p>
    <w:p>
      <w:pPr>
        <w:pStyle w:val="BodyText"/>
      </w:pPr>
      <w:r>
        <w:t xml:space="preserve">The weekly deliverable list (from the syllabus):</w:t>
      </w:r>
      <w:r>
        <w:t xml:space="preserve"> </w:t>
      </w:r>
      <w:r>
        <w:t xml:space="preserve">- Money map of one agency (Week 2)</w:t>
      </w:r>
      <w:r>
        <w:t xml:space="preserve"> </w:t>
      </w:r>
      <w:r>
        <w:t xml:space="preserve">- One-page pipeline diagram (Week 3)</w:t>
      </w:r>
      <w:r>
        <w:t xml:space="preserve"> </w:t>
      </w:r>
      <w:r>
        <w:t xml:space="preserve">- Gate charter for one pursuit (Week 4)</w:t>
      </w:r>
      <w:r>
        <w:t xml:space="preserve"> </w:t>
      </w:r>
      <w:r>
        <w:t xml:space="preserve">- Compliance matrix from a real RFP (Week 5)</w:t>
      </w:r>
      <w:r>
        <w:t xml:space="preserve"> </w:t>
      </w:r>
      <w:r>
        <w:t xml:space="preserve">- Strategy reading of a NOFO (Week 6)</w:t>
      </w:r>
      <w:r>
        <w:t xml:space="preserve"> </w:t>
      </w:r>
      <w:r>
        <w:t xml:space="preserve">- One-page ORBITAL (Week 7)</w:t>
      </w:r>
      <w:r>
        <w:t xml:space="preserve"> </w:t>
      </w:r>
      <w:r>
        <w:t xml:space="preserve">- Scored pursuit sheet with a bid/no-bid recommendation (Week 8)</w:t>
      </w:r>
    </w:p>
    <w:bookmarkEnd w:id="21"/>
    <w:bookmarkStart w:id="22" w:name="Xc4490e8d3dbbb44f26906267a56dbc72e555a53"/>
    <w:p>
      <w:pPr>
        <w:pStyle w:val="Heading2"/>
      </w:pPr>
      <w:r>
        <w:t xml:space="preserve">Layer 2 — Midterm: break down a real NOFO (25%)</w:t>
      </w:r>
    </w:p>
    <w:p>
      <w:pPr>
        <w:pStyle w:val="FirstParagraph"/>
      </w:pPr>
      <w:r>
        <w:rPr>
          <w:b/>
          <w:bCs/>
        </w:rPr>
        <w:t xml:space="preserve">The task.</w:t>
      </w:r>
      <w:r>
        <w:t xml:space="preserve"> </w:t>
      </w:r>
      <w:r>
        <w:t xml:space="preserve">In class, with a real (published, closed) NOFO you have not seen before, produce in 75 minutes: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Purpose</w:t>
      </w:r>
      <w:r>
        <w:t xml:space="preserve"> </w:t>
      </w:r>
      <w:r>
        <w:t xml:space="preserve">— in two sentences, what is the agency funding and why?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Eligibility</w:t>
      </w:r>
      <w:r>
        <w:t xml:space="preserve"> </w:t>
      </w:r>
      <w:r>
        <w:t xml:space="preserve">— who may apply? Any restrictions? Is this a hard gate?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Review criteria</w:t>
      </w:r>
      <w:r>
        <w:t xml:space="preserve"> </w:t>
      </w:r>
      <w:r>
        <w:t xml:space="preserve">— the factors and, if given, their weights. What does</w:t>
      </w:r>
      <w:r>
        <w:t xml:space="preserve"> </w:t>
      </w:r>
      <w:r>
        <w:t xml:space="preserve">“</w:t>
      </w:r>
      <w:r>
        <w:t xml:space="preserve">excellent</w:t>
      </w:r>
      <w:r>
        <w:t xml:space="preserve">”</w:t>
      </w:r>
      <w:r>
        <w:t xml:space="preserve"> </w:t>
      </w:r>
      <w:r>
        <w:t xml:space="preserve">look like per the agency’s own language?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Deadlines and logistics</w:t>
      </w:r>
      <w:r>
        <w:t xml:space="preserve"> </w:t>
      </w:r>
      <w:r>
        <w:t xml:space="preserve">— the submission deadline, the portal, the format.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Budget sketch</w:t>
      </w:r>
      <w:r>
        <w:t xml:space="preserve"> </w:t>
      </w:r>
      <w:r>
        <w:t xml:space="preserve">— a one-page budget for the project period with the two largest line items justified.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Bid/no-bid recommendation</w:t>
      </w:r>
      <w:r>
        <w:t xml:space="preserve"> </w:t>
      </w:r>
      <w:r>
        <w:t xml:space="preserve">— a one-paragraph recommendation with a score (pWin × value) and reasoning.</w:t>
      </w:r>
    </w:p>
    <w:p>
      <w:pPr>
        <w:pStyle w:val="FirstParagraph"/>
      </w:pPr>
      <w:r>
        <w:rPr>
          <w:b/>
          <w:bCs/>
        </w:rPr>
        <w:t xml:space="preserve">Rubric (100 points):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earns them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Accurate, sharp, in the agency’s own frame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Eligibility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 gate determination — go/no-go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 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Correctly identified; the weights read correctly;</w:t>
            </w:r>
            <w:r>
              <w:t xml:space="preserve"> </w:t>
            </w:r>
            <w:r>
              <w:t xml:space="preserve">“</w:t>
            </w:r>
            <w:r>
              <w:t xml:space="preserve">excellent</w:t>
            </w:r>
            <w:r>
              <w:t xml:space="preserve">”</w:t>
            </w:r>
            <w:r>
              <w:t xml:space="preserve"> </w:t>
            </w:r>
            <w:r>
              <w:t xml:space="preserve">described in agency language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Deadlines &amp;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and accurate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Budget sketch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Realistic, aligned with the work, justifications defensible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Honest score, clear reasoning, defensible call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trap being tested:</w:t>
      </w:r>
      <w:r>
        <w:t xml:space="preserve"> </w:t>
      </w:r>
      <w:r>
        <w:t xml:space="preserve">students who write a beautiful proposal-shaped essay instead of</w:t>
      </w:r>
      <w:r>
        <w:t xml:space="preserve"> </w:t>
      </w:r>
      <w:r>
        <w:rPr>
          <w:i/>
          <w:iCs/>
        </w:rPr>
        <w:t xml:space="preserve">reading the document as the agency wrote it</w:t>
      </w:r>
      <w:r>
        <w:t xml:space="preserve">. The midterm rewards reading, not writing.</w:t>
      </w:r>
    </w:p>
    <w:bookmarkEnd w:id="22"/>
    <w:bookmarkStart w:id="23" w:name="layer-3-capstone-build-an-orbital-35"/>
    <w:p>
      <w:pPr>
        <w:pStyle w:val="Heading2"/>
      </w:pPr>
      <w:r>
        <w:t xml:space="preserve">Layer 3 — Capstone: build an ORBITAL (35%)</w:t>
      </w:r>
    </w:p>
    <w:p>
      <w:pPr>
        <w:pStyle w:val="FirstParagraph"/>
      </w:pPr>
      <w:r>
        <w:t xml:space="preserve">Full brief in course/capstone-build-an-orbital.md. The capstone is done in teams of 3–4, presented and defended in Week 14.</w:t>
      </w:r>
    </w:p>
    <w:p>
      <w:pPr>
        <w:pStyle w:val="BodyText"/>
      </w:pPr>
      <w:r>
        <w:rPr>
          <w:b/>
          <w:bCs/>
        </w:rPr>
        <w:t xml:space="preserve">Rubric (100 points):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— 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— 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Solicitation mastery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required element located and used correctly; compliance matrix complete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Several elements missed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ORBITAL quality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seven axes filled with real, sourced content; budget and indicators defensible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Axes thin or unfilled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Score and 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pWin honestly argued factor-by-factor; value grounded; threshold call defended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asserted, not argued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Governance and gates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 points identified, criteria written, decision owners named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absent or after-the-fact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Presentation and defense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Clear, credible, survives a hostile board; doctrine used correctly under questioning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Evasive or unsupported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trap being tested:</w:t>
      </w:r>
      <w:r>
        <w:t xml:space="preserve"> </w:t>
      </w:r>
      <w:r>
        <w:t xml:space="preserve">the capstone is</w:t>
      </w:r>
      <w:r>
        <w:t xml:space="preserve"> </w:t>
      </w:r>
      <w:r>
        <w:rPr>
          <w:i/>
          <w:iCs/>
        </w:rPr>
        <w:t xml:space="preserve">stack-free</w:t>
      </w:r>
      <w:r>
        <w:t xml:space="preserve"> </w:t>
      </w:r>
      <w:r>
        <w:t xml:space="preserve">— students may use paper, a whiteboard, a spreadsheet, or any word processor, but the deliverable never depends on a product. The skill being tested is whether they can take a real solicitation and produce a structure, a score, and a call.</w:t>
      </w:r>
    </w:p>
    <w:bookmarkEnd w:id="23"/>
    <w:bookmarkStart w:id="26" w:name="the-assessment-bank-cross-cutting-tasks"/>
    <w:p>
      <w:pPr>
        <w:pStyle w:val="Heading2"/>
      </w:pPr>
      <w:r>
        <w:t xml:space="preserve">The assessment bank — cross-cutting tasks</w:t>
      </w:r>
    </w:p>
    <w:p>
      <w:pPr>
        <w:pStyle w:val="FirstParagraph"/>
      </w:pPr>
      <w:r>
        <w:t xml:space="preserve">Two reusable tasks sit below the layered weights and can be slotted into any of them. Each is graded on the shared rubric, and each carries a criterion-specific pass of its own. They exist because two competencies the market cares most about — ethics and compliance literacy — need a home in every semester, not only in the weeks the layers happen to cover them.</w:t>
      </w:r>
    </w:p>
    <w:bookmarkStart w:id="24" w:name="X368ca3540f05360e058176d518cf05c45654fac"/>
    <w:p>
      <w:pPr>
        <w:pStyle w:val="Heading3"/>
      </w:pPr>
      <w:r>
        <w:t xml:space="preserve">Ethics scenario — an OCI risk, an unallowable cost, a misrepresented past-performance reference</w:t>
      </w:r>
    </w:p>
    <w:p>
      <w:pPr>
        <w:pStyle w:val="FirstParagraph"/>
      </w:pPr>
      <w:r>
        <w:rPr>
          <w:i/>
          <w:iCs/>
        </w:rPr>
        <w:t xml:space="preserve">Tests doctrine/04’s hardest sentence: private gates and public law are two halves of one system — and the person in the process has to catch the violation before the process does.</w:t>
      </w:r>
    </w:p>
    <w:p>
      <w:pPr>
        <w:pStyle w:val="BodyText"/>
      </w:pPr>
      <w:r>
        <w:rPr>
          <w:b/>
          <w:bCs/>
        </w:rPr>
        <w:t xml:space="preserve">The format.</w:t>
      </w:r>
      <w:r>
        <w:t xml:space="preserve"> </w:t>
      </w:r>
      <w:r>
        <w:t xml:space="preserve">A student (or team) is handed a short scenario in writing, drawn from the family of real failures in the federal market. Three variants rotate across the semester and the program, so the</w:t>
      </w:r>
      <w:r>
        <w:t xml:space="preserve"> </w:t>
      </w:r>
      <w:r>
        <w:rPr>
          <w:i/>
          <w:iCs/>
        </w:rPr>
        <w:t xml:space="preserve">pattern</w:t>
      </w:r>
      <w:r>
        <w:t xml:space="preserve"> </w:t>
      </w:r>
      <w:r>
        <w:t xml:space="preserve">is taught, not the answer: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An OCI risk.</w:t>
      </w:r>
      <w:r>
        <w:t xml:space="preserve"> </w:t>
      </w:r>
      <w:r>
        <w:t xml:space="preserve">Ravonics is positioning for an agency award. The capture lead learns the requirements document for that very solicitation was drafted by a large contractor — and proposes teaming with that contractor, arguing</w:t>
      </w:r>
      <w:r>
        <w:t xml:space="preserve"> </w:t>
      </w:r>
      <w:r>
        <w:t xml:space="preserve">“</w:t>
      </w:r>
      <w:r>
        <w:t xml:space="preserve">it’s just teaming, everyone does it.</w:t>
      </w:r>
      <w:r>
        <w:t xml:space="preserve">”</w:t>
      </w:r>
      <w:r>
        <w:t xml:space="preserve"> </w:t>
      </w:r>
      <w:r>
        <w:t xml:space="preserve">The contractor would bring insider knowledge of the requirement it wrote.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An unallowable cost.</w:t>
      </w:r>
      <w:r>
        <w:t xml:space="preserve"> </w:t>
      </w:r>
      <w:r>
        <w:t xml:space="preserve">The pricing draft for a Ravonics proposal includes a steakhouse dinner and a first-class flight billed as business development. The capture lead says to bury the line item in overhead —</w:t>
      </w:r>
      <w:r>
        <w:t xml:space="preserve"> </w:t>
      </w:r>
      <w:r>
        <w:t xml:space="preserve">“</w:t>
      </w:r>
      <w:r>
        <w:t xml:space="preserve">everyone does it, it’s small.</w:t>
      </w:r>
      <w:r>
        <w:t xml:space="preserve">”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misrepresented past-performance reference.</w:t>
      </w:r>
      <w:r>
        <w:t xml:space="preserve"> </w:t>
      </w:r>
      <w:r>
        <w:t xml:space="preserve">To satisfy a past-performance requirement Ravonics cannot fill, the capture lead proposes listing INSTAR Lab’s STTR work as Ravonics’s own and adding a</w:t>
      </w:r>
      <w:r>
        <w:t xml:space="preserve"> </w:t>
      </w:r>
      <w:r>
        <w:t xml:space="preserve">“</w:t>
      </w:r>
      <w:r>
        <w:t xml:space="preserve">three-year prime contract</w:t>
      </w:r>
      <w:r>
        <w:t xml:space="preserve">”</w:t>
      </w:r>
      <w:r>
        <w:t xml:space="preserve"> </w:t>
      </w:r>
      <w:r>
        <w:t xml:space="preserve">that never happened.</w:t>
      </w:r>
    </w:p>
    <w:p>
      <w:pPr>
        <w:pStyle w:val="FirstParagraph"/>
      </w:pPr>
      <w:r>
        <w:rPr>
          <w:b/>
          <w:bCs/>
        </w:rPr>
        <w:t xml:space="preserve">What the student must produce</w:t>
      </w:r>
      <w:r>
        <w:t xml:space="preserve"> </w:t>
      </w:r>
      <w:r>
        <w:t xml:space="preserve">(30 minutes in class, or as a take-home):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violation</w:t>
      </w:r>
      <w:r>
        <w:t xml:space="preserve"> </w:t>
      </w:r>
      <w:r>
        <w:t xml:space="preserve">— what is wrong here, precisely, in one or two sentences.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rule</w:t>
      </w:r>
      <w:r>
        <w:t xml:space="preserve"> </w:t>
      </w:r>
      <w:r>
        <w:t xml:space="preserve">— the governing principle at concept altitude: the FAR’s integrity and fair-competition posture (for OCI, the conflict-of-interest rules; for cost, the allowability principles; for past performance, the truthfulness of certifications). Name the principle, not the clause number.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correct action</w:t>
      </w:r>
      <w:r>
        <w:t xml:space="preserve"> </w:t>
      </w:r>
      <w:r>
        <w:t xml:space="preserve">— what the student would do next, and who owns the call, in the gate frame (trigger, criteria, decision, owner) from doctrine/04.</w:t>
      </w:r>
    </w:p>
    <w:p>
      <w:pPr>
        <w:pStyle w:val="FirstParagraph"/>
      </w:pPr>
      <w:r>
        <w:rPr>
          <w:b/>
          <w:bCs/>
        </w:rPr>
        <w:t xml:space="preserve">The trap being tested:</w:t>
      </w:r>
      <w:r>
        <w:t xml:space="preserve"> </w:t>
      </w:r>
      <w:r>
        <w:t xml:space="preserve">students who treat ethics as a sentiment instead of a discipline. A correct answer identifies the violation, grounds it in the rule, and names an action with an owner.</w:t>
      </w:r>
      <w:r>
        <w:t xml:space="preserve"> </w:t>
      </w:r>
      <w:r>
        <w:t xml:space="preserve">“</w:t>
      </w:r>
      <w:r>
        <w:t xml:space="preserve">This feels wrong</w:t>
      </w:r>
      <w:r>
        <w:t xml:space="preserve">”</w:t>
      </w:r>
      <w:r>
        <w:t xml:space="preserve"> </w:t>
      </w:r>
      <w:r>
        <w:t xml:space="preserve">is the beginning of the answer, not the answer.</w:t>
      </w:r>
    </w:p>
    <w:p>
      <w:pPr>
        <w:pStyle w:val="BodyText"/>
      </w:pPr>
      <w:r>
        <w:rPr>
          <w:b/>
          <w:bCs/>
        </w:rPr>
        <w:t xml:space="preserve">Grading note.</w:t>
      </w:r>
      <w:r>
        <w:t xml:space="preserve"> </w:t>
      </w:r>
      <w:r>
        <w:t xml:space="preserve">Use the shared rubric with Evidence weighted: the action must be grounded in the scenario’s facts (Evidence), the rule stated accurately (Correctness), and the decision assigned an owner (Doctrine use). A student who catches the violation but cannot name the rule earns partial credit; a student who names the rule but proposes no action has not finished the task.</w:t>
      </w:r>
    </w:p>
    <w:bookmarkEnd w:id="24"/>
    <w:bookmarkStart w:id="25" w:name="section-k-repscerts-identification-task"/>
    <w:p>
      <w:pPr>
        <w:pStyle w:val="Heading3"/>
      </w:pPr>
      <w:r>
        <w:t xml:space="preserve">Section-K reps/certs identification task</w:t>
      </w:r>
    </w:p>
    <w:p>
      <w:pPr>
        <w:pStyle w:val="FirstParagraph"/>
      </w:pPr>
      <w:r>
        <w:rPr>
          <w:i/>
          <w:iCs/>
        </w:rPr>
        <w:t xml:space="preserve">Tests the compliance layer of doctrine/02 and the reps-and-certs literacy of the D5 domain: a response carries legal certifications whether or not the writer knows it.</w:t>
      </w:r>
    </w:p>
    <w:p>
      <w:pPr>
        <w:pStyle w:val="BodyText"/>
      </w:pPr>
      <w:r>
        <w:rPr>
          <w:b/>
          <w:bCs/>
        </w:rPr>
        <w:t xml:space="preserve">Why the excerpt is synthetic.</w:t>
      </w:r>
      <w:r>
        <w:t xml:space="preserve"> </w:t>
      </w:r>
      <w:r>
        <w:t xml:space="preserve">Every major assessment in this course is built on a real, published solicitation. This is the deliberate exception. Section K is a standardized form — the same representations and certifications recur, in near-identical language, across thousands of solicitations — so the fastest way to teach the pattern is a controlled excerpt that isolates the reps and certs without the page-hunting. The skill transfers directly to the real Section K of any RFP.</w:t>
      </w:r>
    </w:p>
    <w:p>
      <w:pPr>
        <w:pStyle w:val="BodyText"/>
      </w:pPr>
      <w:r>
        <w:rPr>
          <w:b/>
          <w:bCs/>
        </w:rPr>
        <w:t xml:space="preserve">The task.</w:t>
      </w:r>
      <w:r>
        <w:t xml:space="preserve"> </w:t>
      </w:r>
      <w:r>
        <w:t xml:space="preserve">The student is handed a one-page fictional solicitation excerpt — a Section K (representations, certifications, and statements of offerors) written in standard uniform-contract-format language. The excerpt carries, among others: the SAM.gov / UEI / CAGE registration representation; the small-business self-certification; the set-aside representations (HUBZone, 8(a), WOSB, VOSB, SDVOSB); the NAICS-code and size-standard representation; the certification on lobbying (31 U.S.C. 1352); the certification on contingent fees; the debarment / suspension and tax-delinquency certification; and an authorized-negotiators statement. At least one item is easy to miss.</w:t>
      </w:r>
    </w:p>
    <w:p>
      <w:pPr>
        <w:pStyle w:val="BodyText"/>
      </w:pPr>
      <w:r>
        <w:t xml:space="preserve">The student must produce: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register</w:t>
      </w:r>
      <w:r>
        <w:t xml:space="preserve"> </w:t>
      </w:r>
      <w:r>
        <w:t xml:space="preserve">— every representation and certification the excerpt requires, named in the student’s own words.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assertion</w:t>
      </w:r>
      <w:r>
        <w:t xml:space="preserve"> </w:t>
      </w:r>
      <w:r>
        <w:t xml:space="preserve">— for each item, one sentence on what a responder is asserting to the government.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consequence</w:t>
      </w:r>
      <w:r>
        <w:t xml:space="preserve"> </w:t>
      </w:r>
      <w:r>
        <w:t xml:space="preserve">— for each item, what could go wrong if it were falsely certified (loss of award, debarment, false-claims exposure).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compliance checklist</w:t>
      </w:r>
      <w:r>
        <w:t xml:space="preserve"> </w:t>
      </w:r>
      <w:r>
        <w:t xml:space="preserve">— a table mapping each item to the evidence that satisfies it, who signs, and when it must be confirmed before submission.</w:t>
      </w:r>
    </w:p>
    <w:p>
      <w:pPr>
        <w:pStyle w:val="FirstParagraph"/>
      </w:pPr>
      <w:r>
        <w:rPr>
          <w:b/>
          <w:bCs/>
        </w:rPr>
        <w:t xml:space="preserve">The trap being tested:</w:t>
      </w:r>
      <w:r>
        <w:t xml:space="preserve"> </w:t>
      </w:r>
      <w:r>
        <w:t xml:space="preserve">students who register the obvious items — name, SAM registration, small-business status — and miss the ones that carry legal weight: the lobbying certification, the contingent-fees certification, the false-claims exposure. The complete register is the deliverable. A partially complete register is an incomplete one — the same standard the compliance matrix holds in DL 302.</w:t>
      </w:r>
    </w:p>
    <w:p>
      <w:pPr>
        <w:pStyle w:val="BodyText"/>
      </w:pPr>
      <w:r>
        <w:rPr>
          <w:b/>
          <w:bCs/>
        </w:rPr>
        <w:t xml:space="preserve">Grading note.</w:t>
      </w:r>
      <w:r>
        <w:t xml:space="preserve"> </w:t>
      </w:r>
      <w:r>
        <w:t xml:space="preserve">Grade the register the way a compliance matrix is graded: every item either present and correctly characterized, or it is a miss. Then grade the assertion and consequence columns on the shared rubric (Correctness, Evidence, Doctrine use).</w:t>
      </w:r>
    </w:p>
    <w:bookmarkEnd w:id="25"/>
    <w:bookmarkEnd w:id="26"/>
    <w:bookmarkStart w:id="27" w:name="layer-4-participation-and-peer-review-10"/>
    <w:p>
      <w:pPr>
        <w:pStyle w:val="Heading2"/>
      </w:pPr>
      <w:r>
        <w:t xml:space="preserve">Layer 4 — Participation and peer review (10%)</w:t>
      </w:r>
    </w:p>
    <w:p>
      <w:pPr>
        <w:pStyle w:val="FirstParagraph"/>
      </w:pPr>
      <w:r>
        <w:t xml:space="preserve">The course runs on professional conduct: prepared students, honest peer review, the discipline of the gate. This layer rewards showing up as the person the market could trust — on time, honest, and useful to teammates.</w:t>
      </w:r>
    </w:p>
    <w:bookmarkEnd w:id="27"/>
    <w:bookmarkStart w:id="28" w:name="the-integrity-note"/>
    <w:p>
      <w:pPr>
        <w:pStyle w:val="Heading2"/>
      </w:pPr>
      <w:r>
        <w:t xml:space="preserve">The integrity note</w:t>
      </w:r>
    </w:p>
    <w:p>
      <w:pPr>
        <w:pStyle w:val="FirstParagraph"/>
      </w:pPr>
      <w:r>
        <w:t xml:space="preserve">The federal market only works because competitors and agencies trust the published process. This course treats integrity as a professional skill, not a rule. Fabricated evidence, invented solicitations, or misrepresented work fails the relevant assessment outright and is reported per the host institution’s policy.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B684D7A9-5D99-498A-B8BC-C2DF97CD220A}"/>
</file>

<file path=customXml/itemProps2.xml><?xml version="1.0" encoding="utf-8"?>
<ds:datastoreItem xmlns:ds="http://schemas.openxmlformats.org/officeDocument/2006/customXml" ds:itemID="{DD1DDC18-584C-4B54-AA93-D4610E556343}"/>
</file>

<file path=customXml/itemProps3.xml><?xml version="1.0" encoding="utf-8"?>
<ds:datastoreItem xmlns:ds="http://schemas.openxmlformats.org/officeDocument/2006/customXml" ds:itemID="{E4C580E0-BDB2-47AF-86C1-5FAFDA061984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2026-08-05T17:25:11Z</dcterms:created>
  <dcterms:modified xsi:type="dcterms:W3CDTF">2026-08-05T17:25:11Z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