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e41573b1fe904b32ff8e06038f8f38e75f8ec70"/>
    <w:p>
      <w:pPr>
        <w:pStyle w:val="Heading1"/>
      </w:pPr>
      <w:r>
        <w:t xml:space="preserve">Undergraduate Modules — Teaching Plans for the Bachelor’s Tier</w:t>
      </w:r>
    </w:p>
    <w:p>
      <w:pPr>
        <w:pStyle w:val="FirstParagraph"/>
      </w:pPr>
      <w:r>
        <w:rPr>
          <w:i/>
          <w:iCs/>
        </w:rPr>
        <w:t xml:space="preserve">The undergraduate tier of the Dream Pursuit Doctrine curriculum — a four-year bachelor’s program in government business development. This folder is the teaching-plan layer for the courses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course/undergraduate-*.md</w:t>
      </w:r>
      <w:r>
        <w:rPr>
          <w:i/>
          <w:iCs/>
        </w:rPr>
        <w:t xml:space="preserve">. Every module follows the shared contract in</w:t>
      </w:r>
      <w:r>
        <w:rPr>
          <w:i/>
          <w:iCs/>
        </w:rPr>
        <w:t xml:space="preserve"> </w:t>
      </w:r>
      <w:r>
        <w:rPr>
          <w:rStyle w:val="VerbatimChar"/>
          <w:i/>
          <w:iCs/>
        </w:rPr>
        <w:t xml:space="preserve">modules/module-template.md</w:t>
      </w:r>
      <w:r>
        <w:rPr>
          <w:i/>
          <w:iCs/>
        </w:rPr>
        <w:t xml:space="preserve">; this page explains how that contract adapts to the undergraduate rhythm and provides a worked example you can lift.</w:t>
      </w:r>
    </w:p>
    <w:p>
      <w:pPr>
        <w:pStyle w:val="BodyText"/>
      </w:pPr>
      <w:r>
        <w:rPr>
          <w:b/>
          <w:bCs/>
        </w:rPr>
        <w:t xml:space="preserve">Program architecture:</w:t>
      </w:r>
      <w:r>
        <w:t xml:space="preserve"> </w:t>
      </w:r>
      <w:hyperlink r:id="rId20">
        <w:r>
          <w:rPr>
            <w:rStyle w:val="VerbatimChar"/>
          </w:rPr>
          <w:t xml:space="preserve">course/undergraduate-program-overview.md</w:t>
        </w:r>
      </w:hyperlink>
      <w:r>
        <w:t xml:space="preserve"> </w:t>
      </w:r>
      <w:r>
        <w:t xml:space="preserve">— credit-hour model, prerequisites, the four-year sequence, and the course catalog. Read that first.</w:t>
      </w:r>
    </w:p>
    <w:bookmarkStart w:id="21" w:name="what-the-undergraduate-tier-is"/>
    <w:p>
      <w:pPr>
        <w:pStyle w:val="Heading2"/>
      </w:pPr>
      <w:r>
        <w:t xml:space="preserve">What the undergraduate tier is</w:t>
      </w:r>
    </w:p>
    <w:p>
      <w:pPr>
        <w:pStyle w:val="FirstParagraph"/>
      </w:pPr>
      <w:r>
        <w:t xml:space="preserve">The undergraduate tier is the</w:t>
      </w:r>
      <w:r>
        <w:t xml:space="preserve"> </w:t>
      </w:r>
      <w:r>
        <w:rPr>
          <w:b/>
          <w:bCs/>
        </w:rPr>
        <w:t xml:space="preserve">foundation rung</w:t>
      </w:r>
      <w:r>
        <w:t xml:space="preserve"> </w:t>
      </w:r>
      <w:r>
        <w:t xml:space="preserve">of the degree ladder: DL 101 and DL 102 (introductory), DL 210 and DL 220 (core), the DL 301–305 electives, and DL 480 (capstone). It corresponds to the Launchpad Sandbox</w:t>
      </w:r>
      <w:r>
        <w:t xml:space="preserve"> </w:t>
      </w:r>
      <w:r>
        <w:rPr>
          <w:b/>
          <w:bCs/>
        </w:rPr>
        <w:t xml:space="preserve">Bachelor’s</w:t>
      </w:r>
      <w:r>
        <w:rPr>
          <w:b/>
          <w:bCs/>
        </w:rP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Dream Foundations</w:t>
      </w:r>
      <w:r>
        <w:rPr>
          <w:b/>
          <w:bCs/>
        </w:rPr>
        <w:t xml:space="preserve">”</w:t>
      </w:r>
      <w:r>
        <w:t xml:space="preserve"> </w:t>
      </w:r>
      <w:r>
        <w:t xml:space="preserve">guide and the</w:t>
      </w:r>
      <w:r>
        <w:t xml:space="preserve"> </w:t>
      </w:r>
      <w:r>
        <w:rPr>
          <w:b/>
          <w:bCs/>
        </w:rPr>
        <w:t xml:space="preserve">L1 Explorer</w:t>
      </w:r>
      <w:r>
        <w:t xml:space="preserve"> </w:t>
      </w:r>
      <w:r>
        <w:t xml:space="preserve">level (see the crosswalk in</w:t>
      </w:r>
      <w:r>
        <w:t xml:space="preserve"> </w:t>
      </w:r>
      <w:r>
        <w:rPr>
          <w:rStyle w:val="VerbatimChar"/>
        </w:rPr>
        <w:t xml:space="preserve">align/concept-to-system-map.md</w:t>
      </w:r>
      <w:r>
        <w:t xml:space="preserve">).</w:t>
      </w:r>
    </w:p>
    <w:p>
      <w:pPr>
        <w:pStyle w:val="BodyText"/>
      </w:pPr>
      <w:r>
        <w:t xml:space="preserve">Its teaching posture is the same as the whole repository: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Concept-first.</w:t>
      </w:r>
      <w:r>
        <w:t xml:space="preserve"> </w:t>
      </w:r>
      <w:r>
        <w:t xml:space="preserve">Every session teaches a durable concept, never a tool (</w:t>
      </w:r>
      <w:r>
        <w:rPr>
          <w:rStyle w:val="VerbatimChar"/>
        </w:rPr>
        <w:t xml:space="preserve">doctrine/08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Literacy-first.</w:t>
      </w:r>
      <w:r>
        <w:t xml:space="preserve"> </w:t>
      </w:r>
      <w:r>
        <w:t xml:space="preserve">Students read real, published,</w:t>
      </w:r>
      <w:r>
        <w:t xml:space="preserve"> </w:t>
      </w:r>
      <w:r>
        <w:rPr>
          <w:i/>
          <w:iCs/>
        </w:rPr>
        <w:t xml:space="preserve">closed</w:t>
      </w:r>
      <w:r>
        <w:t xml:space="preserve"> </w:t>
      </w:r>
      <w:r>
        <w:t xml:space="preserve">solicitations, with the</w:t>
      </w:r>
      <w:r>
        <w:t xml:space="preserve"> </w:t>
      </w:r>
      <w:r>
        <w:rPr>
          <w:rStyle w:val="VerbatimChar"/>
        </w:rPr>
        <w:t xml:space="preserve">literacy/</w:t>
      </w:r>
      <w:r>
        <w:t xml:space="preserve"> </w:t>
      </w:r>
      <w:r>
        <w:t xml:space="preserve">maps as their reference layer.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pipeline is always in the room.</w:t>
      </w:r>
      <w:r>
        <w:t xml:space="preserve"> </w:t>
      </w:r>
      <w:r>
        <w:t xml:space="preserve">Every session connects to where it sits in the pursuit pipeline (</w:t>
      </w:r>
      <w:r>
        <w:rPr>
          <w:rStyle w:val="VerbatimChar"/>
        </w:rPr>
        <w:t xml:space="preserve">doctrine/03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Self-checks, not pop quizzes.</w:t>
      </w:r>
      <w:r>
        <w:t xml:space="preserve"> </w:t>
      </w:r>
      <w:r>
        <w:t xml:space="preserve">Comprehension checks are for the student; graded assessment lives in each course syllabus and the shared rubric (</w:t>
      </w:r>
      <w:r>
        <w:rPr>
          <w:rStyle w:val="VerbatimChar"/>
        </w:rPr>
        <w:t xml:space="preserve">course/assessments-and-rubric.md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case travels.</w:t>
      </w:r>
      <w:r>
        <w:t xml:space="preserve"> </w:t>
      </w:r>
      <w:r>
        <w:t xml:space="preserve">Ravonics (</w:t>
      </w:r>
      <w:r>
        <w:rPr>
          <w:rStyle w:val="VerbatimChar"/>
        </w:rPr>
        <w:t xml:space="preserve">case-study/ravonics.md</w:t>
      </w:r>
      <w:r>
        <w:t xml:space="preserve">) is exercised in every course.</w:t>
      </w:r>
    </w:p>
    <w:bookmarkEnd w:id="21"/>
    <w:bookmarkStart w:id="22" w:name="the-program-map"/>
    <w:p>
      <w:pPr>
        <w:pStyle w:val="Heading2"/>
      </w:pPr>
      <w:r>
        <w:t xml:space="preserve">The program map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Course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Module planning source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101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Foundations of Government Business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Introductory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shared-core.md</w:t>
            </w:r>
            <w:r>
              <w:t xml:space="preserve"> </w:t>
            </w:r>
            <w:r>
              <w:t xml:space="preserve">sessions 1–6, at survey depth, spread over 14 weeks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102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Reading the Solicitation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RFP/NOFO literacy maps, applied session by session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210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Capture &amp; Pursuit Pipeline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shared-core.md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strategic-initiative.md</w:t>
            </w:r>
            <w:r>
              <w:t xml:space="preserve"> </w:t>
            </w:r>
            <w:r>
              <w:t xml:space="preserve">gate/pipeline sessions, deepened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220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Pricing &amp; Price-to-Win Fundamentals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mba.md</w:t>
            </w:r>
            <w:r>
              <w:t xml:space="preserve"> </w:t>
            </w:r>
            <w:r>
              <w:t xml:space="preserve">pricing/price-to-win sessions, at undergraduate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Law &amp; FAR Fundamentals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mpa.md</w:t>
            </w:r>
            <w:r>
              <w:t xml:space="preserve"> </w:t>
            </w:r>
            <w:r>
              <w:t xml:space="preserve">rulebook/oversight sessions, expanded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Production &amp; 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mba.md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strategic-initiative.md</w:t>
            </w:r>
            <w:r>
              <w:t xml:space="preserve"> </w:t>
            </w:r>
            <w:r>
              <w:t xml:space="preserve">production/governance sessions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Contracts &amp; Subcontracting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mba.md</w:t>
            </w:r>
            <w:r>
              <w:t xml:space="preserve"> </w:t>
            </w:r>
            <w:r>
              <w:t xml:space="preserve">certifications/go-to-market + teaming concept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Literacy &amp; Analytics for Capture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mpa.md</w:t>
            </w:r>
            <w:r>
              <w:t xml:space="preserve"> </w:t>
            </w:r>
            <w:r>
              <w:t xml:space="preserve">oversight/data sessions + scoring concept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305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Negotiations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gate-governance + price-to-win concepts, practiced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DL 480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Capstone: Build an ORBITAL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Capstone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course/capstone-build-an-orbital.md</w:t>
            </w:r>
            <w:r>
              <w:t xml:space="preserve"> </w:t>
            </w:r>
            <w:r>
              <w:t xml:space="preserve">+</w:t>
            </w:r>
            <w:r>
              <w:t xml:space="preserve"> </w:t>
            </w:r>
            <w:r>
              <w:rPr>
                <w:rStyle w:val="VerbatimChar"/>
              </w:rPr>
              <w:t xml:space="preserve">undergraduate-480</w:t>
            </w:r>
            <w:r>
              <w:t xml:space="preserve"> </w:t>
            </w:r>
            <w:r>
              <w:t xml:space="preserve">extension</w:t>
            </w:r>
          </w:p>
        </w:tc>
      </w:tr>
    </w:tbl>
    <w:p>
      <w:pPr>
        <w:pStyle w:val="BodyText"/>
      </w:pPr>
      <w:r>
        <w:t xml:space="preserve">The existing audience tracks are graduate-altitude:</w:t>
      </w:r>
      <w:r>
        <w:t xml:space="preserve"> </w:t>
      </w:r>
      <w:r>
        <w:rPr>
          <w:rStyle w:val="VerbatimChar"/>
        </w:rPr>
        <w:t xml:space="preserve">strategic-initiative.md</w:t>
      </w:r>
      <w:r>
        <w:t xml:space="preserve">,</w:t>
      </w:r>
      <w:r>
        <w:t xml:space="preserve"> </w:t>
      </w:r>
      <w:r>
        <w:rPr>
          <w:rStyle w:val="VerbatimChar"/>
        </w:rPr>
        <w:t xml:space="preserve">mba.md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mpa.md</w:t>
      </w:r>
      <w:r>
        <w:t xml:space="preserve"> </w:t>
      </w:r>
      <w:r>
        <w:t xml:space="preserve">assume working adults or graduate students. Undergraduate instructors adapt their sessions by slowing the pace, adding literacy scaffolding, and using the weekly deliverables defined in each undergraduate syllabus.</w:t>
      </w:r>
    </w:p>
    <w:bookmarkEnd w:id="22"/>
    <w:bookmarkStart w:id="23" w:name="X7ec708913111887a52e859503da34b954d8a316"/>
    <w:p>
      <w:pPr>
        <w:pStyle w:val="Heading2"/>
      </w:pPr>
      <w:r>
        <w:t xml:space="preserve">The session contract (from module-template.md)</w:t>
      </w:r>
    </w:p>
    <w:p>
      <w:pPr>
        <w:pStyle w:val="FirstParagraph"/>
      </w:pPr>
      <w:r>
        <w:t xml:space="preserve">Each session runs 45–75 minutes and contains exactly these parts: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it must contain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Session 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Phrased as a question or a promise.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Learning objectives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2–4 concrete, checkable things a student can do after the session.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Session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minute-by-minute arc: open the question (5 min) → teach the concept (15–20) → apply to a concrete case (15–20) → discuss (10–15) → close with the week’s assignment (5).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Discussion prompts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2–4 questions that force application, not recall.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Homework / reading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doctrine/literacy citation and a concrete deliverable.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Comprehension check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2–3 short self-check questions, not graded.</w:t>
            </w:r>
          </w:p>
        </w:tc>
      </w:tr>
    </w:tbl>
    <w:bookmarkEnd w:id="23"/>
    <w:bookmarkStart w:id="24" w:name="undergraduate-adaptations"/>
    <w:p>
      <w:pPr>
        <w:pStyle w:val="Heading2"/>
      </w:pPr>
      <w:r>
        <w:t xml:space="preserve">Undergraduate adaptations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Fourteen-week rhythm.</w:t>
      </w:r>
      <w:r>
        <w:t xml:space="preserve"> </w:t>
      </w:r>
      <w:r>
        <w:t xml:space="preserve">Graduate modules compress the doctrine into six sessions; undergraduate courses run fourteen weeks, one session per week. Spread the same concepts more thinly, add a weekly deliverable, and use the midterm weeks (7 and 9 in most syllabi) as review-and-integration points.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Literacy scaffolding.</w:t>
      </w:r>
      <w:r>
        <w:t xml:space="preserve"> </w:t>
      </w:r>
      <w:r>
        <w:t xml:space="preserve">Undergraduate students need the</w:t>
      </w:r>
      <w:r>
        <w:t xml:space="preserve"> </w:t>
      </w:r>
      <w:r>
        <w:rPr>
          <w:rStyle w:val="VerbatimChar"/>
        </w:rPr>
        <w:t xml:space="preserve">literacy/</w:t>
      </w:r>
      <w:r>
        <w:t xml:space="preserve"> </w:t>
      </w:r>
      <w:r>
        <w:t xml:space="preserve">layer open constantly. Begin each session by naming the two or three glossary/acronym terms the session will use.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Real documents from week one.</w:t>
      </w:r>
      <w:r>
        <w:t xml:space="preserve"> </w:t>
      </w:r>
      <w:r>
        <w:t xml:space="preserve">Put a real (published, closed) solicitation in the students’ hands in the first two weeks of every course, even the survey course. Reading is learned by reading.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Ravonics case, every course.</w:t>
      </w:r>
      <w:r>
        <w:t xml:space="preserve"> </w:t>
      </w:r>
      <w:r>
        <w:t xml:space="preserve">The case is the shared anchor; every course exercises it at its own altitude.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Weekly deliverables are the assessment spine.</w:t>
      </w:r>
      <w:r>
        <w:t xml:space="preserve"> </w:t>
      </w:r>
      <w:r>
        <w:t xml:space="preserve">Per the program model, weekly assignments are ~30% of every course — each a concrete artifact (a map, a matrix, a plan, a sheet). Keep deliverables small, concrete, and gradeable against the 4-point rubric.</w:t>
      </w:r>
    </w:p>
    <w:bookmarkEnd w:id="24"/>
    <w:bookmarkStart w:id="31" w:name="worked-example-a-liftable-module"/>
    <w:p>
      <w:pPr>
        <w:pStyle w:val="Heading2"/>
      </w:pPr>
      <w:r>
        <w:t xml:space="preserve">Worked example — a liftable module</w:t>
      </w:r>
    </w:p>
    <w:p>
      <w:pPr>
        <w:pStyle w:val="FirstParagraph"/>
      </w:pPr>
      <w:r>
        <w:t xml:space="preserve">The following six-session module,</w:t>
      </w:r>
      <w:r>
        <w:t xml:space="preserve"> </w:t>
      </w:r>
      <w:r>
        <w:rPr>
          <w:b/>
          <w:bCs/>
        </w:rPr>
        <w:t xml:space="preserve">“</w:t>
      </w:r>
      <w:r>
        <w:rPr>
          <w:b/>
          <w:bCs/>
        </w:rPr>
        <w:t xml:space="preserve">Where the Money Lives,</w:t>
      </w:r>
      <w:r>
        <w:rPr>
          <w:b/>
          <w:bCs/>
        </w:rPr>
        <w:t xml:space="preserve">”</w:t>
      </w:r>
      <w:r>
        <w:t xml:space="preserve"> </w:t>
      </w:r>
      <w:r>
        <w:t xml:space="preserve">is the undergraduate version of</w:t>
      </w:r>
      <w:r>
        <w:t xml:space="preserve"> </w:t>
      </w:r>
      <w:r>
        <w:rPr>
          <w:rStyle w:val="VerbatimChar"/>
        </w:rPr>
        <w:t xml:space="preserve">shared-core.md</w:t>
      </w:r>
      <w:r>
        <w:t xml:space="preserve"> </w:t>
      </w:r>
      <w:r>
        <w:t xml:space="preserve">Session 1, expanded into a mini-module. It maps to DL 101 weeks 2–7 (the market movement) and can be lifted out and taught standalone as a short course or workshop.</w:t>
      </w:r>
    </w:p>
    <w:bookmarkStart w:id="25" w:name="session-1-the-three-kinds-of-money"/>
    <w:p>
      <w:pPr>
        <w:pStyle w:val="Heading3"/>
      </w:pPr>
      <w:r>
        <w:t xml:space="preserve">Session 1 — The three kinds of money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name the three main kinds of federal money; (2) explain the difference between a contract and a grant; (3) give one real example of each.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How does a federal dollar get to a small business?</w:t>
      </w:r>
      <w:r>
        <w:t xml:space="preserve">”</w:t>
      </w:r>
      <w:r>
        <w:t xml:space="preserve"> </w:t>
      </w:r>
      <w:r>
        <w:t xml:space="preserve">— capture guesses on the board.</w:t>
      </w:r>
      <w:r>
        <w:t xml:space="preserve"> </w:t>
      </w:r>
      <w:r>
        <w:t xml:space="preserve">- Teach (20 min): doctrine/01. The three rivers: contracts, grants, other transactions. Contract buys</w:t>
      </w:r>
      <w:r>
        <w:t xml:space="preserve"> </w:t>
      </w:r>
      <w:r>
        <w:rPr>
          <w:i/>
          <w:iCs/>
        </w:rPr>
        <w:t xml:space="preserve">you</w:t>
      </w:r>
      <w:r>
        <w:t xml:space="preserve">; grant funds</w:t>
      </w:r>
      <w:r>
        <w:t xml:space="preserve"> </w:t>
      </w:r>
      <w:r>
        <w:rPr>
          <w:i/>
          <w:iCs/>
        </w:rPr>
        <w:t xml:space="preserve">your mission</w:t>
      </w:r>
      <w:r>
        <w:t xml:space="preserve">.</w:t>
      </w:r>
      <w:r>
        <w:t xml:space="preserve"> </w:t>
      </w:r>
      <w:r>
        <w:t xml:space="preserve">- Apply (20 min): in pairs, sort six real opportunity titles into contract vs. grant vs. other.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surprised you about how</w:t>
      </w:r>
      <w:r>
        <w:t xml:space="preserve"> </w:t>
      </w:r>
      <w:r>
        <w:rPr>
          <w:i/>
          <w:iCs/>
        </w:rPr>
        <w:t xml:space="preserve">published</w:t>
      </w:r>
      <w:r>
        <w:t xml:space="preserve"> </w:t>
      </w:r>
      <w:r>
        <w:t xml:space="preserve">this all is?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would a grant be a better fit than a contract for a community health project? 2. Which kind of money would a small software firm most likely chase, and why?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 one-page</w:t>
      </w:r>
      <w:r>
        <w:t xml:space="preserve"> </w:t>
      </w:r>
      <w:r>
        <w:t xml:space="preserve">“</w:t>
      </w:r>
      <w:r>
        <w:t xml:space="preserve">money types</w:t>
      </w:r>
      <w:r>
        <w:t xml:space="preserve">”</w:t>
      </w:r>
      <w:r>
        <w:t xml:space="preserve"> </w:t>
      </w:r>
      <w:r>
        <w:t xml:space="preserve">map with one real example of each kind.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a contract and a grant? What does</w:t>
      </w:r>
      <w:r>
        <w:t xml:space="preserve"> </w:t>
      </w:r>
      <w:r>
        <w:t xml:space="preserve">“</w:t>
      </w:r>
      <w:r>
        <w:t xml:space="preserve">other transaction</w:t>
      </w:r>
      <w:r>
        <w:t xml:space="preserve">”</w:t>
      </w:r>
      <w:r>
        <w:t xml:space="preserve"> </w:t>
      </w:r>
      <w:r>
        <w:t xml:space="preserve">mean?</w:t>
      </w:r>
    </w:p>
    <w:bookmarkEnd w:id="25"/>
    <w:bookmarkStart w:id="26" w:name="session-2-the-four-identifiers"/>
    <w:p>
      <w:pPr>
        <w:pStyle w:val="Heading3"/>
      </w:pPr>
      <w:r>
        <w:t xml:space="preserve">Session 2 — The four identifiers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name UEI, CAGE, NAICS, and SAM.gov; (2) explain what each one does; (3) find the identifiers in a real record.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What does the government need to know about you before it can pay you?</w:t>
      </w:r>
      <w:r>
        <w:t xml:space="preserve">”</w:t>
      </w:r>
      <w:r>
        <w:t xml:space="preserve"> </w:t>
      </w:r>
      <w:r>
        <w:t xml:space="preserve">- Teach (20 min): doctrine/01. The four identifiers as the plumbing of the market.</w:t>
      </w:r>
      <w:r>
        <w:t xml:space="preserve"> </w:t>
      </w:r>
      <w:r>
        <w:t xml:space="preserve">- Apply (20 min): in pairs, pull up the Ravonics case (</w:t>
      </w:r>
      <w:r>
        <w:rPr>
          <w:rStyle w:val="VerbatimChar"/>
        </w:rPr>
        <w:t xml:space="preserve">case-study/ravonics.md</w:t>
      </w:r>
      <w:r>
        <w:t xml:space="preserve">) and find its identifiers; then find a company’s identifiers in a real award record.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Why four identifiers instead of one?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did the government replace DUNS with UEI? 2. What does a NAICS code actually determine?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literacy/glossary. Deliverable: a one-page identifier card for Ravonics.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does each identifier do? Which one is free from SAM.gov?</w:t>
      </w:r>
    </w:p>
    <w:bookmarkEnd w:id="26"/>
    <w:bookmarkStart w:id="27" w:name="session-3-the-bulletin-boards"/>
    <w:p>
      <w:pPr>
        <w:pStyle w:val="Heading3"/>
      </w:pPr>
      <w:r>
        <w:t xml:space="preserve">Session 3 — The bulletin boards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name SAM.gov and Grants.gov and what each is for; (2) find a contract opportunity and a grant opportunity; (3) read a forecast.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would you look to watch the federal market move?</w:t>
      </w:r>
      <w:r>
        <w:t xml:space="preserve">”</w:t>
      </w:r>
      <w:r>
        <w:t xml:space="preserve"> </w:t>
      </w:r>
      <w:r>
        <w:t xml:space="preserve">- Teach (20 min): doctrine/01. The bulletin boards, the forecasts, the vehicles.</w:t>
      </w:r>
      <w:r>
        <w:t xml:space="preserve"> </w:t>
      </w:r>
      <w:r>
        <w:t xml:space="preserve">- Apply (30 min): in pairs, on SAM.gov and Grants.gov, find one contract opportunity and one grant opportunity; note the identifiers and deadlines visible in each.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What did you have to know to use these sites well?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would an agency publish its forecast months before a solicitation? 2. What is a vehicle, and why does winning one matter?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doctrine/01. Deliverable: a one-page</w:t>
      </w:r>
      <w:r>
        <w:t xml:space="preserve"> </w:t>
      </w:r>
      <w:r>
        <w:t xml:space="preserve">“</w:t>
      </w:r>
      <w:r>
        <w:t xml:space="preserve">bulletin board</w:t>
      </w:r>
      <w:r>
        <w:t xml:space="preserve">”</w:t>
      </w:r>
      <w:r>
        <w:t xml:space="preserve"> </w:t>
      </w:r>
      <w:r>
        <w:t xml:space="preserve">log of the opportunities you found.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What is the difference between SAM.gov and Grants.gov? What is a vehicle?</w:t>
      </w:r>
    </w:p>
    <w:bookmarkEnd w:id="27"/>
    <w:bookmarkStart w:id="28" w:name="session-4-the-money-flow"/>
    <w:p>
      <w:pPr>
        <w:pStyle w:val="Heading3"/>
      </w:pPr>
      <w:r>
        <w:t xml:space="preserve">Session 4 — The money flow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trace a dollar from Congress to an awardee; (2) name the steps of the flow; (3) read a past award on USAspending.gov.</w:t>
      </w:r>
    </w:p>
    <w:p>
      <w:pPr>
        <w:pStyle w:val="BodyText"/>
      </w:pPr>
      <w:r>
        <w:rPr>
          <w:b/>
          <w:bCs/>
        </w:rPr>
        <w:t xml:space="preserve">Session plan (60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Where does the money begin?</w:t>
      </w:r>
      <w:r>
        <w:t xml:space="preserve">”</w:t>
      </w:r>
      <w:r>
        <w:t xml:space="preserve"> </w:t>
      </w:r>
      <w:r>
        <w:t xml:space="preserve">- Teach (20 min): literacy/where-the-money-flows.md. Congress → budget → agency → solicitation → competition → award → performance → published record.</w:t>
      </w:r>
      <w:r>
        <w:t xml:space="preserve"> </w:t>
      </w:r>
      <w:r>
        <w:t xml:space="preserve">- Apply (20 min): in pairs, trace one real award on USAspending.gov back to its agency.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Why is the award published — what does the record make possible?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would be lost if awards were not published? 2. Where in the flow does the small-business detour happen?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literacy/where-the-money-flows.md. Deliverable: a money map of one agency program.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Name the steps of the money flow. Where do set-asides enter?</w:t>
      </w:r>
    </w:p>
    <w:bookmarkEnd w:id="28"/>
    <w:bookmarkStart w:id="29" w:name="session-5-the-small-business-universe"/>
    <w:p>
      <w:pPr>
        <w:pStyle w:val="Heading3"/>
      </w:pPr>
      <w:r>
        <w:t xml:space="preserve">Session 5 — The small-business universe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name the small-business programs; (2) explain why they exist; (3) assess which pools a firm can enter.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Is a set-aside an advantage or a correction?</w:t>
      </w:r>
      <w:r>
        <w:t xml:space="preserve">”</w:t>
      </w:r>
      <w:r>
        <w:t xml:space="preserve"> </w:t>
      </w:r>
      <w:r>
        <w:t xml:space="preserve">- Teach (25 min): doctrine/01. Set-asides, HUBZone, 8(a), WOSB/VOSB, SBIR/STTR. The government is required to notice small business.</w:t>
      </w:r>
      <w:r>
        <w:t xml:space="preserve"> </w:t>
      </w:r>
      <w:r>
        <w:t xml:space="preserve">- Apply (30 min): the Ravonics case — its HUBZone status, its NAICS codes, its STTR partner. Which pools can it enter?</w:t>
      </w:r>
      <w:r>
        <w:t xml:space="preserve"> </w:t>
      </w:r>
      <w:r>
        <w:t xml:space="preserve">- Discuss (10 min):</w:t>
      </w:r>
      <w:r>
        <w:t xml:space="preserve"> </w:t>
      </w:r>
      <w:r>
        <w:t xml:space="preserve">“</w:t>
      </w:r>
      <w:r>
        <w:t xml:space="preserve">How does a certification change a small firm’s competitive pool?</w:t>
      </w:r>
      <w:r>
        <w:t xml:space="preserve">”</w:t>
      </w:r>
      <w:r>
        <w:t xml:space="preserve"> </w:t>
      </w:r>
      <w:r>
        <w:t xml:space="preserve">- Close (5 min): assignment.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Why does STTR require a research-institution partner? 2. When does a certification stop being an advantage?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doctrine/01 and case-study/ravonics.md. Deliverable: a one-page</w:t>
      </w:r>
      <w:r>
        <w:t xml:space="preserve"> </w:t>
      </w:r>
      <w:r>
        <w:t xml:space="preserve">“</w:t>
      </w:r>
      <w:r>
        <w:t xml:space="preserve">who can compete here?</w:t>
      </w:r>
      <w:r>
        <w:t xml:space="preserve">”</w:t>
      </w:r>
      <w:r>
        <w:t xml:space="preserve"> </w:t>
      </w:r>
      <w:r>
        <w:t xml:space="preserve">sheet for a real set-aside opportunity.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Name three small-business programs and what each does. Why does Congress require set-asides?</w:t>
      </w:r>
    </w:p>
    <w:bookmarkEnd w:id="29"/>
    <w:bookmarkStart w:id="30" w:name="session-6-integration-the-market-map"/>
    <w:p>
      <w:pPr>
        <w:pStyle w:val="Heading3"/>
      </w:pPr>
      <w:r>
        <w:t xml:space="preserve">Session 6 — Integration: the market map</w:t>
      </w:r>
    </w:p>
    <w:p>
      <w:pPr>
        <w:pStyle w:val="FirstParagraph"/>
      </w:pPr>
      <w:r>
        <w:rPr>
          <w:b/>
          <w:bCs/>
        </w:rPr>
        <w:t xml:space="preserve">Learning objectives.</w:t>
      </w:r>
      <w:r>
        <w:t xml:space="preserve"> </w:t>
      </w:r>
      <w:r>
        <w:t xml:space="preserve">Students can: (1) integrate the money types, identifiers, bulletin boards, flow, and programs into one map; (2) present the map; (3) defend it.</w:t>
      </w:r>
    </w:p>
    <w:p>
      <w:pPr>
        <w:pStyle w:val="BodyText"/>
      </w:pPr>
      <w:r>
        <w:rPr>
          <w:b/>
          <w:bCs/>
        </w:rPr>
        <w:t xml:space="preserve">Session plan (75 min).</w:t>
      </w:r>
      <w:r>
        <w:t xml:space="preserve"> </w:t>
      </w:r>
      <w:r>
        <w:t xml:space="preserve">- Open (5 min):</w:t>
      </w:r>
      <w:r>
        <w:t xml:space="preserve"> </w:t>
      </w:r>
      <w:r>
        <w:t xml:space="preserve">“</w:t>
      </w:r>
      <w:r>
        <w:t xml:space="preserve">Draw the federal market from memory.</w:t>
      </w:r>
      <w:r>
        <w:t xml:space="preserve">”</w:t>
      </w:r>
      <w:r>
        <w:t xml:space="preserve"> </w:t>
      </w:r>
      <w:r>
        <w:t xml:space="preserve">- Teach (15 min): synthesis across doctrine/01 and the literacy layer.</w:t>
      </w:r>
      <w:r>
        <w:t xml:space="preserve"> </w:t>
      </w:r>
      <w:r>
        <w:t xml:space="preserve">- Apply (30 min): teams assemble a one-page</w:t>
      </w:r>
      <w:r>
        <w:t xml:space="preserve"> </w:t>
      </w:r>
      <w:r>
        <w:t xml:space="preserve">“</w:t>
      </w:r>
      <w:r>
        <w:t xml:space="preserve">market map</w:t>
      </w:r>
      <w:r>
        <w:t xml:space="preserve">”</w:t>
      </w:r>
      <w:r>
        <w:t xml:space="preserve"> </w:t>
      </w:r>
      <w:r>
        <w:t xml:space="preserve">for Ravonics: the money, the identifiers, the boards, the flow, the pools.</w:t>
      </w:r>
      <w:r>
        <w:t xml:space="preserve"> </w:t>
      </w:r>
      <w:r>
        <w:t xml:space="preserve">- Discuss (15 min):</w:t>
      </w:r>
      <w:r>
        <w:t xml:space="preserve"> </w:t>
      </w:r>
      <w:r>
        <w:t xml:space="preserve">“</w:t>
      </w:r>
      <w:r>
        <w:t xml:space="preserve">What did you leave out — and what does that omission reveal?</w:t>
      </w:r>
      <w:r>
        <w:t xml:space="preserve">”</w:t>
      </w:r>
      <w:r>
        <w:t xml:space="preserve"> </w:t>
      </w:r>
      <w:r>
        <w:t xml:space="preserve">- Close (5 min): assignment and bridge to the pipeline (DL 101 week 8).</w:t>
      </w:r>
    </w:p>
    <w:p>
      <w:pPr>
        <w:pStyle w:val="BodyText"/>
      </w:pPr>
      <w:r>
        <w:rPr>
          <w:b/>
          <w:bCs/>
        </w:rPr>
        <w:t xml:space="preserve">Discussion prompts.</w:t>
      </w:r>
      <w:r>
        <w:t xml:space="preserve"> </w:t>
      </w:r>
      <w:r>
        <w:t xml:space="preserve">1. What is the one thing every organization in this market must get right? 2. Where does a new entrant most often fail — and why?</w:t>
      </w:r>
    </w:p>
    <w:p>
      <w:pPr>
        <w:pStyle w:val="BodyText"/>
      </w:pPr>
      <w:r>
        <w:rPr>
          <w:b/>
          <w:bCs/>
        </w:rPr>
        <w:t xml:space="preserve">Homework / reading.</w:t>
      </w:r>
      <w:r>
        <w:t xml:space="preserve"> </w:t>
      </w:r>
      <w:r>
        <w:t xml:space="preserve">Read the doctrine/01 self-check. Deliverable: the finished one-page market map for Ravonics.</w:t>
      </w:r>
    </w:p>
    <w:p>
      <w:pPr>
        <w:pStyle w:val="BodyText"/>
      </w:pPr>
      <w:r>
        <w:rPr>
          <w:b/>
          <w:bCs/>
        </w:rPr>
        <w:t xml:space="preserve">Comprehension check.</w:t>
      </w:r>
      <w:r>
        <w:t xml:space="preserve"> </w:t>
      </w:r>
      <w:r>
        <w:t xml:space="preserve">Hold the whole map: money, identifiers, boards, flow, pools — can you draw it without looking?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how-to-add-a-new-undergraduate-module"/>
    <w:p>
      <w:pPr>
        <w:pStyle w:val="Heading2"/>
      </w:pPr>
      <w:r>
        <w:t xml:space="preserve">How to add a new undergraduate module</w:t>
      </w:r>
    </w:p>
    <w:p>
      <w:pPr>
        <w:pStyle w:val="Compact"/>
        <w:numPr>
          <w:ilvl w:val="0"/>
          <w:numId w:val="1003"/>
        </w:numPr>
      </w:pPr>
      <w:r>
        <w:t xml:space="preserve">Read the module contract (</w:t>
      </w:r>
      <w:r>
        <w:rPr>
          <w:rStyle w:val="VerbatimChar"/>
        </w:rPr>
        <w:t xml:space="preserve">modules/module-template.md</w:t>
      </w:r>
      <w:r>
        <w:t xml:space="preserve">) and this page.</w:t>
      </w:r>
    </w:p>
    <w:p>
      <w:pPr>
        <w:pStyle w:val="Compact"/>
        <w:numPr>
          <w:ilvl w:val="0"/>
          <w:numId w:val="1003"/>
        </w:numPr>
      </w:pPr>
      <w:r>
        <w:t xml:space="preserve">Map the course’s weekly schedule (in</w:t>
      </w:r>
      <w:r>
        <w:t xml:space="preserve"> </w:t>
      </w:r>
      <w:r>
        <w:rPr>
          <w:rStyle w:val="VerbatimChar"/>
        </w:rPr>
        <w:t xml:space="preserve">course/undergraduate-*.md</w:t>
      </w:r>
      <w:r>
        <w:t xml:space="preserve">) into sessions using the six-part contract.</w:t>
      </w:r>
    </w:p>
    <w:p>
      <w:pPr>
        <w:pStyle w:val="Compact"/>
        <w:numPr>
          <w:ilvl w:val="0"/>
          <w:numId w:val="1003"/>
        </w:numPr>
      </w:pPr>
      <w:r>
        <w:t xml:space="preserve">Cite the specific doctrine and literacy docs for each session.</w:t>
      </w:r>
    </w:p>
    <w:p>
      <w:pPr>
        <w:pStyle w:val="Compact"/>
        <w:numPr>
          <w:ilvl w:val="0"/>
          <w:numId w:val="1003"/>
        </w:numPr>
      </w:pPr>
      <w:r>
        <w:t xml:space="preserve">Keep it stack-agnostic: if a session cannot be taught with paper, pencil, and the doctrine docs, it violates doctrine/08.</w:t>
      </w:r>
    </w:p>
    <w:p>
      <w:pPr>
        <w:pStyle w:val="Compact"/>
        <w:numPr>
          <w:ilvl w:val="0"/>
          <w:numId w:val="1003"/>
        </w:numPr>
      </w:pPr>
      <w:r>
        <w:t xml:space="preserve">Add the file here and register it in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(in the same change per the repo’s editing rules), and bump</w:t>
      </w:r>
      <w:r>
        <w:t xml:space="preserve"> </w:t>
      </w:r>
      <w:r>
        <w:rPr>
          <w:rStyle w:val="VerbatimChar"/>
        </w:rPr>
        <w:t xml:space="preserve">VERSION</w:t>
      </w:r>
      <w:r>
        <w:t xml:space="preserve">.</w:t>
      </w:r>
    </w:p>
    <w:p>
      <w:pPr>
        <w:pStyle w:val="FirstParagraph"/>
      </w:pPr>
      <w:r>
        <w:rPr>
          <w:i/>
          <w:iCs/>
        </w:rPr>
        <w:t xml:space="preserve">The federal market is not a lottery. It is a pipeline — and the pipeline is teachable, from week one of the first year.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customXml" Target="../customXml/item1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../../course/undergraduate-program-overview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openxmlformats.org/officeDocument/2006/relationships/customXml" Target="../customXml/item3.xml"/><Relationship Id="rId4" Type="http://schemas.openxmlformats.org/officeDocument/2006/relationships/webSettings" Target="webSettings.xml"/><Relationship Id="rId22" Type="http://schemas.openxmlformats.org/officeDocument/2006/relationships/customXml" Target="../customXml/item2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../../course/undergraduate-program-overview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5E5C8086-642B-412F-87F7-B8545EC22DE4}"/>
</file>

<file path=customXml/itemProps2.xml><?xml version="1.0" encoding="utf-8"?>
<ds:datastoreItem xmlns:ds="http://schemas.openxmlformats.org/officeDocument/2006/customXml" ds:itemID="{CBEF5B62-D625-4FCE-9803-E129DDFAFA85}"/>
</file>

<file path=customXml/itemProps3.xml><?xml version="1.0" encoding="utf-8"?>
<ds:datastoreItem xmlns:ds="http://schemas.openxmlformats.org/officeDocument/2006/customXml" ds:itemID="{AAB0FE32-F1AC-4CBC-BE30-593939450EEB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2026-08-05T12:03:57Z</dcterms:created>
  <dcterms:modified xsi:type="dcterms:W3CDTF">2026-08-05T12:03:57Z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