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ccd9f887d5e0a9f29206a527e9121c658c22223"/>
    <w:p>
      <w:pPr>
        <w:pStyle w:val="Heading1"/>
      </w:pPr>
      <w:r>
        <w:t xml:space="preserve">Strategic Initiative Track — The Doctrine as an Operating System (7 sessions)</w:t>
      </w:r>
    </w:p>
    <w:p>
      <w:pPr>
        <w:pStyle w:val="FirstParagraph"/>
      </w:pPr>
      <w:r>
        <w:rPr>
          <w:i/>
          <w:iCs/>
        </w:rPr>
        <w:t xml:space="preserve">For students from Strategic Initiative programs. The core gave you the pipeline. This track zooms out: the doctrine as an operating system for an organization — how strategy, portfolio, and governance turn a pipeline into a deliberate machine.</w:t>
      </w:r>
    </w:p>
    <w:p>
      <w:pPr>
        <w:pStyle w:val="BodyText"/>
      </w:pPr>
      <w:r>
        <w:rPr>
          <w:b/>
          <w:bCs/>
        </w:rPr>
        <w:t xml:space="preserve">Audience:</w:t>
      </w:r>
      <w:r>
        <w:t xml:space="preserve"> </w:t>
      </w:r>
      <w:r>
        <w:t xml:space="preserve">Strategic Initiative / strategy majors.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shared-core.</w:t>
      </w:r>
      <w:r>
        <w:t xml:space="preserve"> </w:t>
      </w:r>
      <w:r>
        <w:rPr>
          <w:b/>
          <w:bCs/>
        </w:rPr>
        <w:t xml:space="preserve">Readings:</w:t>
      </w:r>
      <w:r>
        <w:t xml:space="preserve"> </w:t>
      </w:r>
      <w:r>
        <w:t xml:space="preserve">doctrine/03, doctrine/04, doctrine/05, doctrine/07, doctrine/08, and the case study.</w:t>
      </w:r>
    </w:p>
    <w:p>
      <w:r>
        <w:pict>
          <v:rect style="width:0;height:1.5pt" o:hralign="center" o:hrstd="t" o:hr="t"/>
        </w:pict>
      </w:r>
    </w:p>
    <w:bookmarkStart w:id="20" w:name="X0b08b779a4bf400d2b357a27af9192feba570b7"/>
    <w:p>
      <w:pPr>
        <w:pStyle w:val="Heading2"/>
      </w:pPr>
      <w:r>
        <w:t xml:space="preserve">Session SI-1 — The doctrine is an operating system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how a doctrine differs from a set of tools; (2) argue why durable concepts should be encoded, taught, and governed; (3) map an organization’s stated strategy onto the pipeline stages.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an organization need to decide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it can pursue well?</w:t>
      </w:r>
      <w:r>
        <w:t xml:space="preserve">”</w:t>
      </w:r>
      <w:r>
        <w:t xml:space="preserve"> </w:t>
      </w:r>
      <w:r>
        <w:t xml:space="preserve">- Teach (20 min): doctrine/08. The two layers — concepts and tools. Why the doctrine outlives the software. Why the doctrine is the shared language between humans and machines.</w:t>
      </w:r>
      <w:r>
        <w:t xml:space="preserve"> </w:t>
      </w:r>
      <w:r>
        <w:t xml:space="preserve">- Apply (20 min): take any organization’s strategic plan (use Ravonics). Place its stated goals onto the pipeline stages: where is it sensing, qualifying, scoring, delivering?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happens to an organization that mistakes its tools for its doctrine?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Defend:</w:t>
      </w:r>
      <w:r>
        <w:t xml:space="preserve"> </w:t>
      </w:r>
      <w:r>
        <w:t xml:space="preserve">“</w:t>
      </w:r>
      <w:r>
        <w:t xml:space="preserve">a doctrine is only real if it can be taught to a machine.</w:t>
      </w:r>
      <w:r>
        <w:t xml:space="preserve">”</w:t>
      </w:r>
      <w:r>
        <w:t xml:space="preserve"> </w:t>
      </w:r>
      <w:r>
        <w:t xml:space="preserve">2. What is lost when an organization has no written doctrine?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doctrine/08. Deliverable: a one-page</w:t>
      </w:r>
      <w:r>
        <w:t xml:space="preserve"> </w:t>
      </w:r>
      <w:r>
        <w:t xml:space="preserve">“</w:t>
      </w:r>
      <w:r>
        <w:t xml:space="preserve">doctrine statement</w:t>
      </w:r>
      <w:r>
        <w:t xml:space="preserve">”</w:t>
      </w:r>
      <w:r>
        <w:t xml:space="preserve"> </w:t>
      </w:r>
      <w:r>
        <w:t xml:space="preserve">for an organization you care about — the durable concepts it must hold, written so a new hire could apply them.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two layers, and which is durable? Why is the doctrine the shared language between human and machine?</w:t>
      </w:r>
    </w:p>
    <w:p>
      <w:r>
        <w:pict>
          <v:rect style="width:0;height:1.5pt" o:hralign="center" o:hrstd="t" o:hr="t"/>
        </w:pict>
      </w:r>
    </w:p>
    <w:bookmarkEnd w:id="20"/>
    <w:bookmarkStart w:id="21" w:name="Xb29882b5c9f7c8e3107f46c42865c9ae08b578d"/>
    <w:p>
      <w:pPr>
        <w:pStyle w:val="Heading2"/>
      </w:pPr>
      <w:r>
        <w:t xml:space="preserve">Session SI-2 — Portfolio strategy: the pipeline as a portfolio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pipeline as a funnel with conversion at each gate; (2) reason about pipeline value and where leverage lives; (3) recommend a portfolio allocation across risk levels.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If pursuit capacity is scarce, what deserves it?</w:t>
      </w:r>
      <w:r>
        <w:t xml:space="preserve">”</w:t>
      </w:r>
      <w:r>
        <w:t xml:space="preserve"> </w:t>
      </w:r>
      <w:r>
        <w:t xml:space="preserve">- Teach (25 min): doctrine/03 + doctrine/05. The funnel view, pipeline value, threshold discipline, the trade between safe and bold pursuits.</w:t>
      </w:r>
      <w:r>
        <w:t xml:space="preserve"> </w:t>
      </w:r>
      <w:r>
        <w:t xml:space="preserve">- Apply (30 min): the portfolio exercise. Give teams a fixed</w:t>
      </w:r>
      <w:r>
        <w:t xml:space="preserve"> </w:t>
      </w:r>
      <w:r>
        <w:t xml:space="preserve">“</w:t>
      </w:r>
      <w:r>
        <w:t xml:space="preserve">capacity budget</w:t>
      </w:r>
      <w:r>
        <w:t xml:space="preserve">”</w:t>
      </w:r>
      <w:r>
        <w:t xml:space="preserve"> </w:t>
      </w:r>
      <w:r>
        <w:t xml:space="preserve">and a set of scored opportunities (the same ones from core Session 5). Allocate capacity across safe wins, mid bets, and long shots. Defend the portfolio.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portfolio would you defend to a board — and why?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Where is the biggest conversion loss in a typical pipeline? 2. Should an organization ever pursue a below-threshold opportunity? Under what conditions?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one-page portfolio recommendation for Ravonics — capacity budget, allocation, and the reasoning at each gate.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a gate do to portfolio conversion? Why does the threshold discipline matter more than its exact value?</w:t>
      </w:r>
    </w:p>
    <w:p>
      <w:r>
        <w:pict>
          <v:rect style="width:0;height:1.5pt" o:hralign="center" o:hrstd="t" o:hr="t"/>
        </w:pict>
      </w:r>
    </w:p>
    <w:bookmarkEnd w:id="21"/>
    <w:bookmarkStart w:id="22" w:name="Xa6facc1b556f9a95fae1c7a9dfb7ed682f19ae1"/>
    <w:p>
      <w:pPr>
        <w:pStyle w:val="Heading2"/>
      </w:pPr>
      <w:r>
        <w:t xml:space="preserve">Session SI-2b — RICE: the human decision layer for the pursuit portfolio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apply the RICE framework — Reach, Impact, Confidence, Effort — to score and rank a pursuit portfolio; (2) run a human-agent co-drive, where an analyst agent computes the scorecard and the leader owns the weights and the call; (3) set a re-scoring cadence that keeps a portfolio honest as intelligence arrives.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SI-2 allocated a capacity budget by feel. What is the decision method behind a good allocation?</w:t>
      </w:r>
      <w:r>
        <w:t xml:space="preserve">”</w:t>
      </w:r>
      <w:r>
        <w:t xml:space="preserve"> </w:t>
      </w:r>
      <w:r>
        <w:t xml:space="preserve">- Teach (25 min): the RICE framework applied to GovCon. Reach — the footprint of the prize (contract ceiling, platform breadth, agencies touched). Impact — the strategic weight of winning (new capability, incumbency, market entry, credibility). Confidence — pWin: how likely we are to win, and why. Effort — the scarce capacity from SI-2 (production, capture, teaming, leadership attention). The score is (Reach × Impact × Confidence) ÷ Effort — and the denominator is why ambition gets discounted.</w:t>
      </w:r>
      <w:r>
        <w:t xml:space="preserve"> </w:t>
      </w:r>
      <w:r>
        <w:t xml:space="preserve">- Apply (30 min): the portfolio exercise, part two. Teams re-run their SI-2 allocation with a RICE scorecard. The instructor works the Ravonics exemplar (below); each team computes scores, sets a threshold, and defends the ranked portfolio.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The agent computes the scorecard. Who owns the weights — and why does it matter that they do?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Worked portfolio example.</w:t>
      </w:r>
      <w:r>
        <w:t xml:space="preserve"> </w:t>
      </w:r>
      <w:r>
        <w:t xml:space="preserve">Ravonics is a five-person firm — it cannot staff every pursuit, so it must rank. The leader’s analyst agent assembles the scorecard from the opportunity data, the past-performance record, and the cost model; the leader has set the year’s weights as policy — reach and impact balance, confidence must clear the pWin bar, effort is what capacity is scarce. The score for each pursuit is (Reach × Impact × Confidence) ÷ Effort: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Pursuit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Reach (1–10)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(1–10)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Confidence (0–1)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Effort (capacity 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RICE = (R × I × C) ÷ 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Existing-customer recompete (engineering set-aside)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(6 × 6 × 0.8) ÷ 20 = 1.44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STTR research award with INSTAR Lab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(5 × 8 × 0.6) ÷ 25 = 0.96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HUBZone set-aside quick win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(3 × 5 × 0.75) ÷ 12 = 0.94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Mega-prime subcontract (teaming play)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(8 × 7 × 0.3) ÷ 45 = 0.37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Hosted-intelligence IDIQ (prime)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(9 × 9 × 0.25) ÷ 60 = 0.34</w:t>
            </w:r>
          </w:p>
        </w:tc>
      </w:tr>
    </w:tbl>
    <w:p>
      <w:pPr>
        <w:pStyle w:val="BodyText"/>
      </w:pPr>
      <w:r>
        <w:t xml:space="preserve">The rank is not a surprise to anyone who has run the doctrine: the recompete protects the base, the STTR award builds the research lane INSTAR Lab makes winnable, and the HUBZone set-aside is cheap confidence. The two glamorous pursuits — the IDIQ prime and the mega-prime subcontract — score last, because a five-person firm pays the full effort while carrying low confidence into the room. That is the RICE insight: the denominator (effort) and the confidence discount are exactly what raw excitement ignores.</w:t>
      </w:r>
    </w:p>
    <w:p>
      <w:pPr>
        <w:pStyle w:val="BodyText"/>
      </w:pPr>
      <w:r>
        <w:t xml:space="preserve">The leader sets the threshold as policy. Here: pursue ≥ 0.8; park and re-score between 0.5 and 0.8; no-bid below 0.5. That clears the recompete, the STTR award, and the set-aside for pursuit, and sends the two long shots to the shelf. A deliberate override is still allowed — a leader may push a below-threshold pursuit when the win would build a capability that changes next year’s portfolio — but an override must be named as judgment, never mistaken for arithmetic. That is the human-agent co-drive in one rule:</w:t>
      </w:r>
      <w:r>
        <w:t xml:space="preserve"> </w:t>
      </w:r>
      <w:r>
        <w:rPr>
          <w:b/>
          <w:bCs/>
        </w:rPr>
        <w:t xml:space="preserve">the agent computes the scorecard; the human owns the weights and the override. The weights are policy, not output.</w:t>
      </w:r>
    </w:p>
    <w:p>
      <w:pPr>
        <w:pStyle w:val="BodyText"/>
      </w:pPr>
      <w:r>
        <w:t xml:space="preserve">Confidence is the most volatile input. The STTR award’s confidence jumps the day INSTAR Lab confirms the research letter; the set-aside’s falls if a stronger HUBZone competitor signals entry. So the portfolio is re-scored on a cadence: at discovery triage, at every gate (bid/no-bid, threshold, readiness), whenever a material signal lands, and in full at the quarterly portfolio review. A pursuit’s RICE number is a living figure, not a plaque.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does the denominator do to a glamorous pursuit with low win confidence? 2. When is a below-threshold override the right call, and how do you keep it honest?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doctrine/05. Deliverable: a RICE scorecard for Ravonics’ portfolio — the weights you set as policy, the score for each pursuit, your stated threshold, and the ranked call you would defend to a board.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four RICE inputs, and what does each mean for a GovCon pursuit? Why are the weights policy, not output? When is a pursuit re-scored, and which input is the most volatile?</w:t>
      </w:r>
    </w:p>
    <w:p>
      <w:r>
        <w:pict>
          <v:rect style="width:0;height:1.5pt" o:hralign="center" o:hrstd="t" o:hr="t"/>
        </w:pict>
      </w:r>
    </w:p>
    <w:bookmarkEnd w:id="22"/>
    <w:bookmarkStart w:id="23" w:name="X91fadde2d00b436c8e53c823d76a6080ac94753"/>
    <w:p>
      <w:pPr>
        <w:pStyle w:val="Heading2"/>
      </w:pPr>
      <w:r>
        <w:t xml:space="preserve">Session SI-3 — Gate governance: who decides, and how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design a gate with all four parts; (2) distinguish owner-with-standing from owner-with-process; (3) build the ladder of governance for a full pursuit.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Why does excitement make gates necessary?</w:t>
      </w:r>
      <w:r>
        <w:t xml:space="preserve">”</w:t>
      </w:r>
      <w:r>
        <w:t xml:space="preserve"> </w:t>
      </w:r>
      <w:r>
        <w:t xml:space="preserve">- Teach (20 min): doctrine/04. The four parts of a gate, the two ownership modes, the ladder of commitment, and the ethics layer.</w:t>
      </w:r>
      <w:r>
        <w:t xml:space="preserve"> </w:t>
      </w:r>
      <w:r>
        <w:t xml:space="preserve">- Apply (20 min): design the gate structure for a fictional pursuit. Teams write the criteria for the bid/no-bid gate, the threshold gate, and the readiness gate for a real opportunity.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gate in your design would fail first under pressure? How do you make it boring?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makes a gate a rubber stamp, and how do you prevent it? 2. Where does public-side governance (the law) meet private-side governance (your gates)?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doctrine/04. Deliverable: a one-page gate charter for one pursuit — the four parts written out for each gate the pursuit will cross.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are the four parts of a gate? What is the difference between owner-with-standing and owner-with-process?</w:t>
      </w:r>
    </w:p>
    <w:p>
      <w:r>
        <w:pict>
          <v:rect style="width:0;height:1.5pt" o:hralign="center" o:hrstd="t" o:hr="t"/>
        </w:pict>
      </w:r>
    </w:p>
    <w:bookmarkEnd w:id="23"/>
    <w:bookmarkStart w:id="24" w:name="X5d17276ae9965f61fc249d53ff544690cc78ced"/>
    <w:p>
      <w:pPr>
        <w:pStyle w:val="Heading2"/>
      </w:pPr>
      <w:r>
        <w:t xml:space="preserve">Session SI-4 — The ecosystem view: partners, teaming, and the market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why no pursuit is an island; (2) reason about teaming and partnerships as strategy; (3) read the competitive landscape of a market using NAICS and past awards.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Who wins federal work — companies, or coalitions?</w:t>
      </w:r>
      <w:r>
        <w:t xml:space="preserve">”</w:t>
      </w:r>
      <w:r>
        <w:t xml:space="preserve"> </w:t>
      </w:r>
      <w:r>
        <w:t xml:space="preserve">- Teach (20 min): doctrine/01 + doctrine/07. The market structure, the small-business universe as a design, teaming as strategy (the STTR research-partner model as an example).</w:t>
      </w:r>
      <w:r>
        <w:t xml:space="preserve"> </w:t>
      </w:r>
      <w:r>
        <w:t xml:space="preserve">- Apply (30 min): for the Ravonics case, map its market. Use NAICS codes and published past awards to sketch who competes, who teams, and where a HUBZone-certified, research-partnered firm has an edge.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When is a competitor also a teammate?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Congress require small businesses to partner with research institutions for STTR? 2. How does a small firm decide</w:t>
      </w:r>
      <w:r>
        <w:t xml:space="preserve"> </w:t>
      </w:r>
      <w:r>
        <w:rPr>
          <w:i/>
          <w:iCs/>
        </w:rPr>
        <w:t xml:space="preserve">who</w:t>
      </w:r>
      <w:r>
        <w:t xml:space="preserve"> </w:t>
      </w:r>
      <w:r>
        <w:t xml:space="preserve">to team with?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the Ravonics case. Deliverable: a one-page market map for Ravonics — competitors, partners, certification advantages, and one teaming recommendation.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Why is a firm’s certification posture a strategy, not paperwork? What makes the STTR model structurally different?</w:t>
      </w:r>
    </w:p>
    <w:p>
      <w:r>
        <w:pict>
          <v:rect style="width:0;height:1.5pt" o:hralign="center" o:hrstd="t" o:hr="t"/>
        </w:pict>
      </w:r>
    </w:p>
    <w:bookmarkEnd w:id="24"/>
    <w:bookmarkStart w:id="25" w:name="X28b952367fecf527c2b0f14f2def5360ea69778"/>
    <w:p>
      <w:pPr>
        <w:pStyle w:val="Heading2"/>
      </w:pPr>
      <w:r>
        <w:t xml:space="preserve">Session SI-5 — Organizational posture: DREAM, GROWTH, and SuperNova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explain the DREAM and GROWTH accents and where each lives in the doctrine; (2) explain the SuperNova arc from seed to operating entity; (3) argue which posture fits which organizational stage.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does a seed idea become an operating entity?</w:t>
      </w:r>
      <w:r>
        <w:t xml:space="preserve">”</w:t>
      </w:r>
      <w:r>
        <w:t xml:space="preserve"> </w:t>
      </w:r>
      <w:r>
        <w:t xml:space="preserve">- Teach (25 min): doctrine/03 + doctrine/07. The accents: DREAM for engagement, GROWTH for production, SuperNova for the full arc. Posture as a stage-dependent choice.</w:t>
      </w:r>
      <w:r>
        <w:t xml:space="preserve"> </w:t>
      </w:r>
      <w:r>
        <w:t xml:space="preserve">- Apply (20 min): teams place an organization’s journey on the SuperNova arc. Where is it now? What is the next stage’s work and gate?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Which posture is most dangerous when applied at the wrong stage?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a startup-stage entity need different governance than a mature one? 2. Where does the human (the DREAM relationship) matter most?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doctrine/07. Deliverable: a one-page posture assessment for Ravonics — which stage of the arc it is in, and the three moves that would advance it.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DREAM, GROWTH, and SuperNova as accents of one doctrine?</w:t>
      </w:r>
    </w:p>
    <w:p>
      <w:r>
        <w:pict>
          <v:rect style="width:0;height:1.5pt" o:hralign="center" o:hrstd="t" o:hr="t"/>
        </w:pict>
      </w:r>
    </w:p>
    <w:bookmarkEnd w:id="25"/>
    <w:bookmarkStart w:id="26" w:name="X8d7aeec0c51eb2143c5b697cd193814568f8c09"/>
    <w:p>
      <w:pPr>
        <w:pStyle w:val="Heading2"/>
      </w:pPr>
      <w:r>
        <w:t xml:space="preserve">Session SI-6 — Leading a pursuit organization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By the end of this session, students can: (1) assemble a pursuit organization from the doctrine’s roles and gates; (2) define the metrics that tell a leader whether the pipeline is healthy; (3) present a doctrine-based strategy to a skeptical board.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would you measure to know your pursuit machine is healthy?</w:t>
      </w:r>
      <w:r>
        <w:t xml:space="preserve">”</w:t>
      </w:r>
      <w:r>
        <w:t xml:space="preserve"> </w:t>
      </w:r>
      <w:r>
        <w:t xml:space="preserve">- Teach (20 min): synthesis across doctrine/03–07. Roles, gates, portfolio metrics, the learning loop.</w:t>
      </w:r>
      <w:r>
        <w:t xml:space="preserve"> </w:t>
      </w:r>
      <w:r>
        <w:t xml:space="preserve">- Apply (30 min): the board exercise. Each team plays the leadership of Ravonics presenting next year’s pursuit strategy — pipeline posture, portfolio allocation, gate governance — to a skeptical board (the instructor + other teams). The board pushes back.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made the strongest argument: numbers, structure, or story?</w:t>
      </w:r>
      <w:r>
        <w:t xml:space="preserve">”</w:t>
      </w:r>
      <w:r>
        <w:t xml:space="preserve"> </w:t>
      </w:r>
      <w:r>
        <w:t xml:space="preserve">- Close (5 min): assignment and bridge to the capstone.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three metrics would you watch weekly? 2. How do you defend a</w:t>
      </w:r>
      <w:r>
        <w:t xml:space="preserve"> </w:t>
      </w:r>
      <w:r>
        <w:t xml:space="preserve">“</w:t>
      </w:r>
      <w:r>
        <w:t xml:space="preserve">no</w:t>
      </w:r>
      <w:r>
        <w:t xml:space="preserve">”</w:t>
      </w:r>
      <w:r>
        <w:t xml:space="preserve"> </w:t>
      </w:r>
      <w:r>
        <w:t xml:space="preserve">to a room that wants to chase?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full doctrine folder if you have not. Deliverable: a one-page</w:t>
      </w:r>
      <w:r>
        <w:t xml:space="preserve"> </w:t>
      </w:r>
      <w:r>
        <w:t xml:space="preserve">“</w:t>
      </w:r>
      <w:r>
        <w:t xml:space="preserve">leader’s dashboard</w:t>
      </w:r>
      <w:r>
        <w:t xml:space="preserve">”</w:t>
      </w:r>
      <w:r>
        <w:t xml:space="preserve"> </w:t>
      </w:r>
      <w:r>
        <w:t xml:space="preserve">for a pursuit organization — the metrics and the gates that matter.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a healthy pipeline look like as a set of metrics? How do gates protect attention, money, and reputation?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7F6FEE47-5CE3-4738-8973-4CE14432BC19}"/>
</file>

<file path=customXml/itemProps2.xml><?xml version="1.0" encoding="utf-8"?>
<ds:datastoreItem xmlns:ds="http://schemas.openxmlformats.org/officeDocument/2006/customXml" ds:itemID="{E0E2D6E6-76CE-4747-B344-9B6C1F04A68D}"/>
</file>

<file path=customXml/itemProps3.xml><?xml version="1.0" encoding="utf-8"?>
<ds:datastoreItem xmlns:ds="http://schemas.openxmlformats.org/officeDocument/2006/customXml" ds:itemID="{B65AF95C-FB88-4ADB-93E1-6F62099F81DD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2026-08-05T17:25:09Z</dcterms:created>
  <dcterms:modified xsi:type="dcterms:W3CDTF">2026-08-05T17:25:09Z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