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module-template"/>
    <w:p>
      <w:pPr>
        <w:pStyle w:val="Heading1"/>
      </w:pPr>
      <w:r>
        <w:t xml:space="preserve">Module Template</w:t>
      </w:r>
    </w:p>
    <w:p>
      <w:pPr>
        <w:pStyle w:val="FirstParagraph"/>
      </w:pPr>
      <w:r>
        <w:rPr>
          <w:i/>
          <w:iCs/>
        </w:rPr>
        <w:t xml:space="preserve">Every module in this curriculum follows the same skeleton, so a student can move between audiences — or between this course and the fellowship — and always know where the pieces live. This file is the contract.</w:t>
      </w:r>
    </w:p>
    <w:bookmarkStart w:id="20" w:name="the-parts-of-a-module"/>
    <w:p>
      <w:pPr>
        <w:pStyle w:val="Heading2"/>
      </w:pPr>
      <w:r>
        <w:t xml:space="preserve">The parts of a module</w:t>
      </w:r>
    </w:p>
    <w:p>
      <w:pPr>
        <w:pStyle w:val="FirstParagraph"/>
      </w:pPr>
      <w:r>
        <w:t xml:space="preserve">A module is a sequence of</w:t>
      </w:r>
      <w:r>
        <w:t xml:space="preserve"> </w:t>
      </w:r>
      <w:r>
        <w:rPr>
          <w:b/>
          <w:bCs/>
        </w:rPr>
        <w:t xml:space="preserve">sessions</w:t>
      </w:r>
      <w:r>
        <w:t xml:space="preserve">. Each session is designed to run</w:t>
      </w:r>
      <w:r>
        <w:t xml:space="preserve"> </w:t>
      </w:r>
      <w:r>
        <w:rPr>
          <w:b/>
          <w:bCs/>
        </w:rPr>
        <w:t xml:space="preserve">45–75 minutes</w:t>
      </w:r>
      <w:r>
        <w:t xml:space="preserve"> </w:t>
      </w:r>
      <w:r>
        <w:t xml:space="preserve">and contains exactly these parts: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must contain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Session 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name of the session, phrased as a question or a promise.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Learning objectives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2–4 concrete, checkable things a student can do after the session. Start each with an action verb:</w:t>
            </w:r>
            <w:r>
              <w:t xml:space="preserve"> </w:t>
            </w:r>
            <w:r>
              <w:rPr>
                <w:i/>
                <w:iCs/>
              </w:rPr>
              <w:t xml:space="preserve">explain, compare, build, decide, defend.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Session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minute-by-minute arc for the session, written for the instructor. Typically: open the question (5 min) → teach the concept (15–20 min) → apply it to a concrete case (15–20 min) → discuss (10–15 min) → close with the week’s assignment (5 min).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Discussion 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2–4 questions that force application, not recall. The best prompts start with</w:t>
            </w:r>
            <w:r>
              <w:t xml:space="preserve"> </w:t>
            </w:r>
            <w:r>
              <w:rPr>
                <w:i/>
                <w:iCs/>
              </w:rPr>
              <w:t xml:space="preserve">“</w:t>
            </w:r>
            <w:r>
              <w:rPr>
                <w:i/>
                <w:iCs/>
              </w:rPr>
              <w:t xml:space="preserve">What would you do…</w:t>
            </w:r>
            <w:r>
              <w:rPr>
                <w:i/>
                <w:iCs/>
              </w:rPr>
              <w:t xml:space="preserve">”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i/>
                <w:iCs/>
              </w:rPr>
              <w:t xml:space="preserve">“</w:t>
            </w:r>
            <w:r>
              <w:rPr>
                <w:i/>
                <w:iCs/>
              </w:rPr>
              <w:t xml:space="preserve">Defend a position…</w:t>
            </w:r>
            <w:r>
              <w:rPr>
                <w:i/>
                <w:iCs/>
              </w:rP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Homework / 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reading (always cite the specific doctrine or literacy doc) and the deliverable (always concrete: a one-pager, a scored pursuit, a map).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Comprehension 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2–3 short questions for the student to self-check before the next session. Not graded.</w:t>
            </w:r>
          </w:p>
        </w:tc>
      </w:tr>
    </w:tbl>
    <w:bookmarkEnd w:id="20"/>
    <w:bookmarkStart w:id="21" w:name="the-shared-core-and-the-audience-track"/>
    <w:p>
      <w:pPr>
        <w:pStyle w:val="Heading2"/>
      </w:pPr>
      <w:r>
        <w:t xml:space="preserve">The shared core and the audience track</w:t>
      </w:r>
    </w:p>
    <w:p>
      <w:pPr>
        <w:pStyle w:val="FirstParagraph"/>
      </w:pPr>
      <w:r>
        <w:t xml:space="preserve">The curriculum has one spine and three accents: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shared-core</w:t>
      </w:r>
      <w:r>
        <w:t xml:space="preserve"> </w:t>
      </w:r>
      <w:r>
        <w:t xml:space="preserve">— the six sessions every student takes. This is the pipeline, taught once, well. Nothing here is optional.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strategic-initiative</w:t>
      </w:r>
      <w:r>
        <w:t xml:space="preserve"> </w:t>
      </w:r>
      <w:r>
        <w:t xml:space="preserve">— six sessions for students from Strategic Initiative programs: the ecosystem, portfolio strategy, gate governance, the doctrine as an operating system.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mba</w:t>
      </w:r>
      <w:r>
        <w:t xml:space="preserve"> </w:t>
      </w:r>
      <w:r>
        <w:t xml:space="preserve">— six sessions for MBA students: business structure, revenue and margins, pricing-to-win, positioning, NAICS/HUBZone as go-to-market.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mpa</w:t>
      </w:r>
      <w:r>
        <w:t xml:space="preserve"> </w:t>
      </w:r>
      <w:r>
        <w:t xml:space="preserve">— six sessions for Masters in Policy Administration students: the public side, money flow, FAR and compliance, grants management, oversight and equity.</w:t>
      </w:r>
    </w:p>
    <w:p>
      <w:pPr>
        <w:pStyle w:val="FirstParagraph"/>
      </w:pPr>
      <w:r>
        <w:t xml:space="preserve">The core gives everyone the shared language; the track gives each audience the accent that matches their career. A student who takes the core plus any track has the full course. A fellowship participant and a college student following the same module are learning the same doctrine — that is the point of the shared skeleton.</w:t>
      </w:r>
    </w:p>
    <w:bookmarkEnd w:id="21"/>
    <w:bookmarkStart w:id="22" w:name="conventions-every-module-must-follow"/>
    <w:p>
      <w:pPr>
        <w:pStyle w:val="Heading2"/>
      </w:pPr>
      <w:r>
        <w:t xml:space="preserve">Conventions every module must follow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Concepts, not tools.</w:t>
      </w:r>
      <w:r>
        <w:t xml:space="preserve"> </w:t>
      </w:r>
      <w:r>
        <w:t xml:space="preserve">Sessions may</w:t>
      </w:r>
      <w:r>
        <w:t xml:space="preserve"> </w:t>
      </w:r>
      <w:r>
        <w:rPr>
          <w:i/>
          <w:iCs/>
        </w:rPr>
        <w:t xml:space="preserve">mention</w:t>
      </w:r>
      <w:r>
        <w:t xml:space="preserve"> </w:t>
      </w:r>
      <w:r>
        <w:t xml:space="preserve">that a system of record or an AI layer exists. They must never depend on a specific product. If a session cannot be taught with paper, pencil, and the doctrine docs, it violates the stack-agnostic rule (doctrine/08).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Students should read real RFPs and NOFOs from SAM.gov and Grants.gov. Never ask them to chase live submission deadlines; use published, closed opportunities as teaching objects.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pipeline is always in the room.</w:t>
      </w:r>
      <w:r>
        <w:t xml:space="preserve"> </w:t>
      </w:r>
      <w:r>
        <w:t xml:space="preserve">Every session should connect to where it sits in the pursuit pipeline (doctrine/03), even when the session’s topic is literacy or case work.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Self-checks, not pop quizzes.</w:t>
      </w:r>
      <w:r>
        <w:t xml:space="preserve"> </w:t>
      </w:r>
      <w:r>
        <w:t xml:space="preserve">Comprehension checks are for the student, not the gradebook. Graded assessment lives in course/assessments-and-rubric.md.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case travels.</w:t>
      </w:r>
      <w:r>
        <w:t xml:space="preserve"> </w:t>
      </w:r>
      <w:r>
        <w:t xml:space="preserve">The Ravonics case (case-study/ravonics.md) is the shared teaching object — use it in every module so all audiences exercise the same company through the same doctrine.</w:t>
      </w:r>
    </w:p>
    <w:bookmarkEnd w:id="22"/>
    <w:bookmarkStart w:id="23" w:name="how-to-adapt-the-template"/>
    <w:p>
      <w:pPr>
        <w:pStyle w:val="Heading2"/>
      </w:pPr>
      <w:r>
        <w:t xml:space="preserve">How to adapt the template</w:t>
      </w:r>
    </w:p>
    <w:p>
      <w:pPr>
        <w:pStyle w:val="FirstParagraph"/>
      </w:pPr>
      <w:r>
        <w:t xml:space="preserve">If you are writing a new module:</w:t>
      </w:r>
    </w:p>
    <w:p>
      <w:pPr>
        <w:pStyle w:val="Compact"/>
        <w:numPr>
          <w:ilvl w:val="0"/>
          <w:numId w:val="1003"/>
        </w:numPr>
      </w:pPr>
      <w:r>
        <w:t xml:space="preserve">Copy this file.</w:t>
      </w:r>
    </w:p>
    <w:p>
      <w:pPr>
        <w:pStyle w:val="Compact"/>
        <w:numPr>
          <w:ilvl w:val="0"/>
          <w:numId w:val="1003"/>
        </w:numPr>
      </w:pPr>
      <w:r>
        <w:t xml:space="preserve">Replace the audience paragraph in</w:t>
      </w:r>
      <w:r>
        <w:t xml:space="preserve"> </w:t>
      </w:r>
      <w:r>
        <w:t xml:space="preserve">“</w:t>
      </w:r>
      <w:r>
        <w:t xml:space="preserve">The shared core and the audience track.</w:t>
      </w:r>
      <w:r>
        <w:t xml:space="preserve">”</w:t>
      </w:r>
    </w:p>
    <w:p>
      <w:pPr>
        <w:pStyle w:val="Compact"/>
        <w:numPr>
          <w:ilvl w:val="0"/>
          <w:numId w:val="1003"/>
        </w:numPr>
      </w:pPr>
      <w:r>
        <w:t xml:space="preserve">Keep the skeleton: six sessions, each with the six parts above.</w:t>
      </w:r>
    </w:p>
    <w:p>
      <w:pPr>
        <w:pStyle w:val="Compact"/>
        <w:numPr>
          <w:ilvl w:val="0"/>
          <w:numId w:val="1003"/>
        </w:numPr>
      </w:pPr>
      <w:r>
        <w:t xml:space="preserve">Map every session to the doctrine docs it teaches (the manifest.yaml registry will help you check coverage).</w:t>
      </w:r>
    </w:p>
    <w:p>
      <w:pPr>
        <w:pStyle w:val="Compact"/>
        <w:numPr>
          <w:ilvl w:val="0"/>
          <w:numId w:val="1003"/>
        </w:numPr>
      </w:pPr>
      <w:r>
        <w:t xml:space="preserve">Run it past the stack-agnostic rule before you call it done.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092FF95E-80EC-40AC-B1DE-6396BB3EF93B}"/>
</file>

<file path=customXml/itemProps2.xml><?xml version="1.0" encoding="utf-8"?>
<ds:datastoreItem xmlns:ds="http://schemas.openxmlformats.org/officeDocument/2006/customXml" ds:itemID="{9945E93A-633C-4830-850E-B36BE67EEA1B}"/>
</file>

<file path=customXml/itemProps3.xml><?xml version="1.0" encoding="utf-8"?>
<ds:datastoreItem xmlns:ds="http://schemas.openxmlformats.org/officeDocument/2006/customXml" ds:itemID="{8CCE0FD6-FD47-47AB-ADC1-A5BA25749885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2026-08-05T12:03:56Z</dcterms:created>
  <dcterms:modified xsi:type="dcterms:W3CDTF">2026-08-05T12:03:56Z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