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4a6f04f5ced93e1949c43670d9c210119a28cb2"/>
    <w:p>
      <w:pPr>
        <w:pStyle w:val="Heading1"/>
      </w:pPr>
      <w:r>
        <w:t xml:space="preserve">MBA Track — Business Structure, Revenue, and Positioning (6 sessions)</w:t>
      </w:r>
    </w:p>
    <w:p>
      <w:pPr>
        <w:pStyle w:val="FirstParagraph"/>
      </w:pPr>
      <w:r>
        <w:rPr>
          <w:i/>
          <w:iCs/>
        </w:rPr>
        <w:t xml:space="preserve">For MBA students. The core gave you the pipeline. This track is where the business analysis lives: the ORBITAL as a business plan, revenue and margins, price-to-win, the certification landscape (NAICS, HUBZone) as a go-to-market strategy, and the marketing-to-government mechanics that get a firm into the room.</w:t>
      </w:r>
    </w:p>
    <w:p>
      <w:pPr>
        <w:pStyle w:val="BodyText"/>
      </w:pPr>
      <w:r>
        <w:rPr>
          <w:b/>
          <w:bCs/>
        </w:rPr>
        <w:t xml:space="preserve">Audience:</w:t>
      </w:r>
      <w:r>
        <w:t xml:space="preserve"> </w:t>
      </w:r>
      <w:r>
        <w:t xml:space="preserve">MBA / business students.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shared-core.</w:t>
      </w:r>
      <w:r>
        <w:t xml:space="preserve"> </w:t>
      </w:r>
      <w:r>
        <w:rPr>
          <w:b/>
          <w:bCs/>
        </w:rPr>
        <w:t xml:space="preserve">Readings:</w:t>
      </w:r>
      <w:r>
        <w:t xml:space="preserve"> </w:t>
      </w:r>
      <w:r>
        <w:t xml:space="preserve">doctrine/01, doctrine/05, doctrine/06, doctrine/07, doctrine/09, and the case study.</w:t>
      </w:r>
    </w:p>
    <w:p>
      <w:r>
        <w:pict>
          <v:rect style="width:0;height:1.5pt" o:hralign="center" o:hrstd="t" o:hr="t"/>
        </w:pict>
      </w:r>
    </w:p>
    <w:bookmarkStart w:id="20" w:name="X9fb8ea4d71539229e86f0a9dc86126b75257a9e"/>
    <w:p>
      <w:pPr>
        <w:pStyle w:val="Heading2"/>
      </w:pPr>
      <w:r>
        <w:t xml:space="preserve">Session MBA-1 — The pursuit as a business line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model a pursuit’s unit economics (value, cost, margin); (2) explain how a portfolio of pursuits becomes a revenue line; (3) identify the sunk-cost trap in pursuit spending.</w:t>
      </w:r>
    </w:p>
    <w:p>
      <w:pPr>
        <w:pStyle w:val="BodyText"/>
      </w:pPr>
      <w:r>
        <w:rPr>
          <w:b/>
          <w:bCs/>
        </w:rPr>
        <w:t xml:space="preserve">Session plan (60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How much should a firm spend to win a $1M contract?</w:t>
      </w:r>
      <w:r>
        <w:t xml:space="preserve">”</w:t>
      </w:r>
      <w:r>
        <w:t xml:space="preserve"> </w:t>
      </w:r>
      <w:r>
        <w:t xml:space="preserve">- Teach (20 min): doctrine/05 + doctrine/06. The budget axis, pursuit cost as an investment, the portfolio as a revenue model.</w:t>
      </w:r>
      <w:r>
        <w:t xml:space="preserve"> </w:t>
      </w:r>
      <w:r>
        <w:t xml:space="preserve">- Apply (20 min): a simple model. Given a pursuit’s estimated value, estimated win probability, and pursuit cost, what is the expected return? Teams build the arithmetic for three scenarios.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When is it rational to stop spending on a pursuit?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Should pursuit cost be capped as a percentage of estimated value? 2. Where does the sunk-cost fallacy hit hardest in a pursuit?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one-page unit-economics model for the Ravonics pursuit portfolio — value, cost, margin, expected value per pursuit.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expected-value arithmetic of a pursuit? What is the sunk-cost trap?</w:t>
      </w:r>
    </w:p>
    <w:p>
      <w:r>
        <w:pict>
          <v:rect style="width:0;height:1.5pt" o:hralign="center" o:hrstd="t" o:hr="t"/>
        </w:pict>
      </w:r>
    </w:p>
    <w:bookmarkEnd w:id="20"/>
    <w:bookmarkStart w:id="21" w:name="Xf4b436c0a14328390fe730bfbabda524e5aa257"/>
    <w:p>
      <w:pPr>
        <w:pStyle w:val="Heading2"/>
      </w:pPr>
      <w:r>
        <w:t xml:space="preserve">Session MBA-2 — Price-to-win: pricing as a position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three inputs to price-to-win; (2) distinguish lowest-price from best-value evaluation; (3) price a pursuit against a competitive range.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Is the lowest bid the winning bid?</w:t>
      </w:r>
      <w:r>
        <w:t xml:space="preserve">”</w:t>
      </w:r>
      <w:r>
        <w:t xml:space="preserve"> </w:t>
      </w:r>
      <w:r>
        <w:t xml:space="preserve">- Teach (25 min): doctrine/05. The cost floor, the competitive range, the evaluation’s price posture. LPTA vs. best-value.</w:t>
      </w:r>
      <w:r>
        <w:t xml:space="preserve"> </w:t>
      </w:r>
      <w:r>
        <w:t xml:space="preserve">- Apply (30 min): the pricing exercise. Give teams a real (closed) solicitation with the cost structure of a fictional firm. Build the price-to-win: floor, competitive range, recommended price, and the story that justifies it.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When is a higher price the winning move?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Defend a bid priced above the apparent market. 2. Why is a too-low bid a business risk, not just a lost profit?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one-page price-to-win recommendation for one pursuit, with the three inputs shown.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three inputs to price-to-win? What is the difference between LPTA and best-value?</w:t>
      </w:r>
    </w:p>
    <w:p>
      <w:r>
        <w:pict>
          <v:rect style="width:0;height:1.5pt" o:hralign="center" o:hrstd="t" o:hr="t"/>
        </w:pict>
      </w:r>
    </w:p>
    <w:bookmarkEnd w:id="21"/>
    <w:bookmarkStart w:id="22" w:name="X049bc07c380dc189c5c2e42bcadc2398219131e"/>
    <w:p>
      <w:pPr>
        <w:pStyle w:val="Heading2"/>
      </w:pPr>
      <w:r>
        <w:t xml:space="preserve">Session MBA-3 — The ORBITAL as a business plan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translate the seven ORBITAL axes into a business-plan frame; (2) use the budget axis to test whether a pursuit is a business; (3) identify the indicators a pursuit should track.</w:t>
      </w:r>
    </w:p>
    <w:p>
      <w:pPr>
        <w:pStyle w:val="BodyText"/>
      </w:pPr>
      <w:r>
        <w:rPr>
          <w:b/>
          <w:bCs/>
        </w:rPr>
        <w:t xml:space="preserve">Session plan (60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separates a project from a business?</w:t>
      </w:r>
      <w:r>
        <w:t xml:space="preserve">”</w:t>
      </w:r>
      <w:r>
        <w:t xml:space="preserve"> </w:t>
      </w:r>
      <w:r>
        <w:t xml:space="preserve">- Teach (20 min): doctrine/06. The seven axes as a business plan in miniature; indicators as the measurement layer; budget as the business test.</w:t>
      </w:r>
      <w:r>
        <w:t xml:space="preserve"> </w:t>
      </w:r>
      <w:r>
        <w:t xml:space="preserve">- Apply (20 min): in pairs, convert the Ravonics ORBITAL into a one-page business plan: value proposition, team, cost structure, route to customer, success metrics.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Which axis is most neglected in real businesses?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Which two ORBITAL axes are the</w:t>
      </w:r>
      <w:r>
        <w:t xml:space="preserve"> </w:t>
      </w:r>
      <w:r>
        <w:t xml:space="preserve">“</w:t>
      </w:r>
      <w:r>
        <w:t xml:space="preserve">business test</w:t>
      </w:r>
      <w:r>
        <w:t xml:space="preserve">”</w:t>
      </w:r>
      <w:r>
        <w:t xml:space="preserve"> </w:t>
      </w:r>
      <w:r>
        <w:t xml:space="preserve">of a pursuit? 2. What does a strong indicator set look like?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doctrine/06. Deliverable: a one-page ORBITAL business-plan for a pursuit of your choice, with indicators defined.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does the ORBITAL work as a business plan? What is the difference between the budget axis and the indicators axis?</w:t>
      </w:r>
    </w:p>
    <w:p>
      <w:r>
        <w:pict>
          <v:rect style="width:0;height:1.5pt" o:hralign="center" o:hrstd="t" o:hr="t"/>
        </w:pict>
      </w:r>
    </w:p>
    <w:bookmarkEnd w:id="22"/>
    <w:bookmarkStart w:id="23" w:name="X79d9f9ed20fde5f1978776b4e785ed59a2fad24"/>
    <w:p>
      <w:pPr>
        <w:pStyle w:val="Heading2"/>
      </w:pPr>
      <w:r>
        <w:t xml:space="preserve">Session MBA-4 — Certifications as go-to-market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how NAICS, HUBZone, 8(a), WOSB, VOSB change a firm’s competitive pool; (2) assess certification posture as a strategic asset; (3) recommend a certification strategy for a firm; (4) describe the marketing-to-government mechanics — account planning, industry days, capability briefings, one-on-ones, and the know-the-mission-before-the-RFP posture; (5) explain how the marketing organization feeds the capture pipeline (in this course’s shorthand, the blue team feeds the green).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Is a HUBZone certification paperwork or a strategy — and how does a small firm get in front of a government customer at all?</w:t>
      </w:r>
      <w:r>
        <w:t xml:space="preserve">”</w:t>
      </w:r>
      <w:r>
        <w:t xml:space="preserve"> </w:t>
      </w:r>
      <w:r>
        <w:t xml:space="preserve">- Teach (25 min): doctrine/01. The small-business universe as a statutory market design; NAICS as the segmentation; certifications as entry into restricted pools. Then the other half of go-to-market: how a firm is</w:t>
      </w:r>
      <w:r>
        <w:t xml:space="preserve"> </w:t>
      </w:r>
      <w:r>
        <w:rPr>
          <w:i/>
          <w:iCs/>
        </w:rPr>
        <w:t xml:space="preserve">seen</w:t>
      </w:r>
      <w:r>
        <w:t xml:space="preserve">. Marketing is the first stage of the BD lifecycle (marketing → capture → proposal → negotiate → award) and it feeds capture rather than replacing it. The mechanics: account planning (which agencies, primes, and vehicles you court), industry days and matchmaking events, capability briefings, one-on-ones, and the know-the-mission-before-the-RFP posture — engage the mission before the RFP exists, so the requirement and the relationship are both shaped before a single proposal page is written.</w:t>
      </w:r>
      <w:r>
        <w:t xml:space="preserve"> </w:t>
      </w:r>
      <w:r>
        <w:t xml:space="preserve">- Apply (30 min): the go-to-market case for Ravonics. First, its certification posture: which pools can it enter, which set-asides fit, what would you add? Second, its marketing mechanics: which agencies and primes does it target, which engagement channels does it use, and what would its one-page capability statement say? Draft the statement outline and a 60-second framing of what Ravonics does.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When does a certification stop being an advantage?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Where does marketing end and capture begin — and why does the handoff matter?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would a firm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pursue every certification it qualifies for? 2. How does a certification affect pricing power? 3. How is marketing to government different from marketing to commercial customers? 4. What does</w:t>
      </w:r>
      <w:r>
        <w:t xml:space="preserve"> </w:t>
      </w:r>
      <w:r>
        <w:t xml:space="preserve">“</w:t>
      </w:r>
      <w:r>
        <w:t xml:space="preserve">know the mission before the RFP</w:t>
      </w:r>
      <w:r>
        <w:t xml:space="preserve">”</w:t>
      </w:r>
      <w:r>
        <w:t xml:space="preserve"> </w:t>
      </w:r>
      <w:r>
        <w:t xml:space="preserve">look like as an actual behavior, not a slogan?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doctrine/01, doctrine/09, literacy/capability-statement.md, and the Ravonics case. Deliverable: a one-page go-to-market plan for Ravonics — current certification posture, target pools, target agencies and engagement channels, and an outline of its one-page capability statement.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does NAICS determine a firm’s competitive pool? What does HUBZone status do for a firm’s market position? What is the know-the-mission posture, and why must it precede the RFP?</w:t>
      </w:r>
    </w:p>
    <w:p>
      <w:r>
        <w:pict>
          <v:rect style="width:0;height:1.5pt" o:hralign="center" o:hrstd="t" o:hr="t"/>
        </w:pict>
      </w:r>
    </w:p>
    <w:bookmarkEnd w:id="23"/>
    <w:bookmarkStart w:id="24" w:name="X4d69061bb30faa73ad6540019950e915f8b0a82"/>
    <w:p>
      <w:pPr>
        <w:pStyle w:val="Heading2"/>
      </w:pPr>
      <w:r>
        <w:t xml:space="preserve">Session MBA-5 — Delivery, past performance, and the revenue flywheel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how delivery creates the past-performance asset; (2) model the revenue flywheel of the cosmology loop; (3) price past performance into a firm’s valuation narrative.</w:t>
      </w:r>
    </w:p>
    <w:p>
      <w:pPr>
        <w:pStyle w:val="BodyText"/>
      </w:pPr>
      <w:r>
        <w:rPr>
          <w:b/>
          <w:bCs/>
        </w:rPr>
        <w:t xml:space="preserve">Session plan (60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is the most valuable asset a delivery creates?</w:t>
      </w:r>
      <w:r>
        <w:t xml:space="preserve">”</w:t>
      </w:r>
      <w:r>
        <w:t xml:space="preserve"> </w:t>
      </w:r>
      <w:r>
        <w:t xml:space="preserve">- Teach (20 min): doctrine/03 + doctrine/07. Delivery as the seed of the next pursuit; the flywheel; published awards as the public proof.</w:t>
      </w:r>
      <w:r>
        <w:t xml:space="preserve"> </w:t>
      </w:r>
      <w:r>
        <w:t xml:space="preserve">- Apply (20 min): model Ravonics’s flywheel over three years: wins → past performance → better pWin → more wins. Teams sketch the compounding arithmetic.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How would you value a firm whose only asset is a strong flywheel?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Which is worth more to a firm: one big win or a reliable delivery record? 2. How does past performance show up in a firm’s valuation?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doctrine/07. Deliverable: a one-page flywheel model for a firm you choose, with the arithmetic shown.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cosmology loop, and why does it compound? What role does past performance play?</w:t>
      </w:r>
    </w:p>
    <w:p>
      <w:r>
        <w:pict>
          <v:rect style="width:0;height:1.5pt" o:hralign="center" o:hrstd="t" o:hr="t"/>
        </w:pict>
      </w:r>
    </w:p>
    <w:bookmarkEnd w:id="24"/>
    <w:bookmarkStart w:id="25" w:name="X484123258f526300b9de62f6a560dcd623b1ecf"/>
    <w:p>
      <w:pPr>
        <w:pStyle w:val="Heading2"/>
      </w:pPr>
      <w:r>
        <w:t xml:space="preserve">Session MBA-6 — The pursuit portfolio and the board pitch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assemble a pursuit portfolio with a risk balance; (2) present pursuit strategy to an investor/board audience; (3) defend the numbers under questioning.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If you had $100 of capacity, where would you put it?</w:t>
      </w:r>
      <w:r>
        <w:t xml:space="preserve">”</w:t>
      </w:r>
      <w:r>
        <w:t xml:space="preserve"> </w:t>
      </w:r>
      <w:r>
        <w:t xml:space="preserve">- Teach (15 min): synthesis across doctrine/05–07. Portfolio construction, the threshold discipline, the flywheel.</w:t>
      </w:r>
      <w:r>
        <w:t xml:space="preserve"> </w:t>
      </w:r>
      <w:r>
        <w:t xml:space="preserve">- Apply (35 min): the investor pitch. Each team pitches Ravonics’s pursuit strategy — portfolio, price-to-win posture, certification edge, flywheel — to a board of investors. The board interrogates the numbers.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made a pitch credible: the model, the posture, or the story?</w:t>
      </w:r>
      <w:r>
        <w:t xml:space="preserve">”</w:t>
      </w:r>
      <w:r>
        <w:t xml:space="preserve"> </w:t>
      </w:r>
      <w:r>
        <w:t xml:space="preserve">- Close (5 min): assignment and bridge to the capstone.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are the three numbers you must know cold before any pursuit conversation? 2. How do you defend a below-threshold portfolio bet?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full doctrine folder if you have not. Deliverable: a one-page investor summary for Ravonics — portfolio, price-to-win, flywheel, and the one question you would want to answer first.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makes a pursuit portfolio defensible? How does price-to-win connect to the business model?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69D07E12-4CFA-4B91-A36D-D7A290867349}"/>
</file>

<file path=customXml/itemProps2.xml><?xml version="1.0" encoding="utf-8"?>
<ds:datastoreItem xmlns:ds="http://schemas.openxmlformats.org/officeDocument/2006/customXml" ds:itemID="{DFA45633-5AB2-4E82-AD99-032304134B35}"/>
</file>

<file path=customXml/itemProps3.xml><?xml version="1.0" encoding="utf-8"?>
<ds:datastoreItem xmlns:ds="http://schemas.openxmlformats.org/officeDocument/2006/customXml" ds:itemID="{828FEBBC-8E4F-4704-BA03-5073E81DA591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2026-08-05T17:25:07Z</dcterms:created>
  <dcterms:modified xsi:type="dcterms:W3CDTF">2026-08-05T17:25:07Z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