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fc121ce55eb853c1b888553a7f1756e00e454ef"/>
    <w:p>
      <w:pPr>
        <w:pStyle w:val="Heading1"/>
      </w:pPr>
      <w:r>
        <w:t xml:space="preserve">Graduate Module — Organizational Theory &amp; Governance (GC 520)</w:t>
      </w:r>
    </w:p>
    <w:p>
      <w:pPr>
        <w:pStyle w:val="FirstParagraph"/>
      </w:pPr>
      <w:r>
        <w:rPr>
          <w:i/>
          <w:iCs/>
        </w:rPr>
        <w:t xml:space="preserve">The session-by-session teaching plan for GC 520.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The governance and integrity canon is always at concept altitude (doctrine/08).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program foundations.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 organizations, solicitations, and published governance failures.</w:t>
      </w:r>
    </w:p>
    <w:p>
      <w:r>
        <w:pict>
          <v:rect style="width:0;height:1.5pt" o:hralign="center" o:hrstd="t" o:hr="t"/>
        </w:pict>
      </w:r>
    </w:p>
    <w:bookmarkStart w:id="20" w:name="X9ddc0312b1fbd091562b0fb27c06896ec8e686a"/>
    <w:p>
      <w:pPr>
        <w:pStyle w:val="Heading2"/>
      </w:pPr>
      <w:r>
        <w:t xml:space="preserve">Session 1 — Organizations as governance structures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why a firm, not a market, for pursuit work; (2) read the ORBITAL as a governance skeleton; (3) identify which ORBITAL axes are governance mechanisms.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is a pursuit run by an organization and not by a freelancer?</w:t>
      </w:r>
      <w:r>
        <w:t xml:space="preserve">”</w:t>
      </w:r>
      <w:r>
        <w:t xml:space="preserve"> </w:t>
      </w:r>
      <w:r>
        <w:t xml:space="preserve">- Teach (25 min): doctrine/06 + the course reader on organizational theory. The boundary of the firm; the ORBITAL as a skeleton with governance built in.</w:t>
      </w:r>
      <w:r>
        <w:t xml:space="preserve"> </w:t>
      </w:r>
      <w:r>
        <w:t xml:space="preserve">- Apply (25 min): classify the seven ORBITAL axes as governance mechanisms or resource commitments.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ORBITAL axis is the most governance-heavy, and which is the most resource-heavy?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 ORBITAL skeleton force an organization to decide before it spends? 2. When does a pursuit outgrow its skeleton?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doctrine/06. Deliverable: a one-page analysis classifying the ORBITAL axes.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Why is a pursuit run by an organization? Which ORBITAL axes are governance mechanisms?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the-principalagent-problem"/>
    <w:p>
      <w:pPr>
        <w:pStyle w:val="Heading2"/>
      </w:pPr>
      <w:r>
        <w:t xml:space="preserve">Session 2 — The principal–agent problem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adverse selection and moral hazard in the buyer-seller relationship; (2) locate the agency problem in a real solicitation; (3) describe how the rules force disclosure.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buyer knows less than the seller. What can go wrong?</w:t>
      </w:r>
      <w:r>
        <w:t xml:space="preserve">”</w:t>
      </w:r>
      <w:r>
        <w:t xml:space="preserve"> </w:t>
      </w:r>
      <w:r>
        <w:t xml:space="preserve">- Teach (25 min): the course reader on agency theory + doctrine/04. Principal, agent, asymmetric information, the mechanisms that make the relationship survivable.</w:t>
      </w:r>
      <w:r>
        <w:t xml:space="preserve"> </w:t>
      </w:r>
      <w:r>
        <w:t xml:space="preserve">- Apply (25 min): in a real RFP, find the places where the rules force the seller to reveal what the buyer cannot see.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is the deeper problem in federal procurement: adverse selection or moral hazard?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competition address adverse selection — and when does it fail? 2. What clauses address moral hazard after award?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 and literacy/how-to-read-an-rfp. Deliverable: a memo locating the agency problem and its remedies in a real solicitation.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principal-agent problem in procurement? How do the rules mitigate it?</w:t>
      </w:r>
    </w:p>
    <w:p>
      <w:r>
        <w:pict>
          <v:rect style="width:0;height:1.5pt" o:hralign="center" o:hrstd="t" o:hr="t"/>
        </w:pict>
      </w:r>
    </w:p>
    <w:bookmarkEnd w:id="21"/>
    <w:bookmarkStart w:id="22" w:name="Xb4f69da7a4135ff5f0c05752d1bd7a840f0c529"/>
    <w:p>
      <w:pPr>
        <w:pStyle w:val="Heading2"/>
      </w:pPr>
      <w:r>
        <w:t xml:space="preserve">Session 3 — The FAR as governance technology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rulebook as a fairness machine; (2) state what the rules protect and who pays for them; (3) argue both sides of the burden-fairness trade-off.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does the government need a 2,000-page rulebook to buy things?</w:t>
      </w:r>
      <w:r>
        <w:t xml:space="preserve">”</w:t>
      </w:r>
      <w:r>
        <w:t xml:space="preserve"> </w:t>
      </w:r>
      <w:r>
        <w:t xml:space="preserve">- Teach (25 min): doctrine/02 + doctrine/04. The FAR as governance technology: disclosure, competition, accountability.</w:t>
      </w:r>
      <w:r>
        <w:t xml:space="preserve"> </w:t>
      </w:r>
      <w:r>
        <w:t xml:space="preserve">- Apply (25 min): the debate — one side defends the rulebook as a fairness machine, the other as a burden. Use a real RFP’s compliance load as the object.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Who bears the cost of following the rules — and is that cost fair?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would a federal market without the rulebook look like? 2. How do the rules create trust between strangers?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 and doctrine/04. Deliverable: a short paper defending or attacking the rulebook as governance technology.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is the FAR a governance technology? What do the rules protect, and who pays?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gates-as-decision-systems"/>
    <w:p>
      <w:pPr>
        <w:pStyle w:val="Heading2"/>
      </w:pPr>
      <w:r>
        <w:t xml:space="preserve">Session 4 — Gates as decision systems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four parts of a gate; (2) distinguish owner-with-standing from owner-with-process; (3) design a gate charter.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does excitement make gates necessary?</w:t>
      </w:r>
      <w:r>
        <w:t xml:space="preserve">”</w:t>
      </w:r>
      <w:r>
        <w:t xml:space="preserve"> </w:t>
      </w:r>
      <w:r>
        <w:t xml:space="preserve">- Teach (25 min): doctrine/04 + the gate canon at concept altitude. Trigger, criteria, decision, owner; the two ownership modes.</w:t>
      </w:r>
      <w:r>
        <w:t xml:space="preserve"> </w:t>
      </w:r>
      <w:r>
        <w:t xml:space="preserve">- Apply (25 min): write the gate charter for a case pursuit — all four parts for each gate the pursuit will cross.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gate would fail first under pressure, and how do you make it boring?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 gate a rubber stamp, and how do you prevent it? 2. Who should own the bid/no-bid gate — and why?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gate charter for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four parts of a gate? What is the difference between the two ownership modes?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procurement-integrity"/>
    <w:p>
      <w:pPr>
        <w:pStyle w:val="Heading2"/>
      </w:pPr>
      <w:r>
        <w:t xml:space="preserve">Session 5 — Procurement integrity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why the integrity regime is structural, not personal; (2) map a pursuit org’s integrity exposure; (3) design the controls that contain it.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Is integrity a personal virtue or a structural design?</w:t>
      </w:r>
      <w:r>
        <w:t xml:space="preserve">”</w:t>
      </w:r>
      <w:r>
        <w:t xml:space="preserve"> </w:t>
      </w:r>
      <w:r>
        <w:t xml:space="preserve">- Teach (25 min): doctrine/04 + the course reader on procurement integrity. What the rules prohibit, why the system treats integrity structurally, the professional’s obligation.</w:t>
      </w:r>
      <w:r>
        <w:t xml:space="preserve"> </w:t>
      </w:r>
      <w:r>
        <w:t xml:space="preserve">- Apply (25 min): map the integrity exposure of a typical pursuit org (relationships, gifts, information flows) and the controls that contain it.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is the integrity exposure greatest in a real capture org?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is a rule against a specific behavior not enough? 2. What does a structural integrity program look like in a small firm?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an integrity-exposure and controls map for a pursuit org.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Why is the integrity regime structural? What are the controls that contain exposure?</w:t>
      </w:r>
    </w:p>
    <w:p>
      <w:r>
        <w:pict>
          <v:rect style="width:0;height:1.5pt" o:hralign="center" o:hrstd="t" o:hr="t"/>
        </w:pict>
      </w:r>
    </w:p>
    <w:bookmarkEnd w:id="24"/>
    <w:bookmarkStart w:id="25" w:name="Xeabee5930caff8316fdf0c76550d6c2a566e870"/>
    <w:p>
      <w:pPr>
        <w:pStyle w:val="Heading2"/>
      </w:pPr>
      <w:r>
        <w:t xml:space="preserve">Session 6 — Ethical walls and ethical firewalls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when an information barrier is structural, not a matter of trust; (2) design an ethical wall; (3) identify where walls are required.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Your firm primes one pursuit and subs on a competitor’s team for another. What information can cross?</w:t>
      </w:r>
      <w:r>
        <w:t xml:space="preserve">”</w:t>
      </w:r>
      <w:r>
        <w:t xml:space="preserve"> </w:t>
      </w:r>
      <w:r>
        <w:t xml:space="preserve">- Teach (25 min): doctrine/04 + the course reader on ethical walls. Information barriers; structural walls vs. trust; the wall as a governance artifact.</w:t>
      </w:r>
      <w:r>
        <w:t xml:space="preserve"> </w:t>
      </w:r>
      <w:r>
        <w:t xml:space="preserve">- Apply (25 min): design the ethical wall for a firm with competing interests; specify what crosses and what does not.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a wall overkill — and when is trust a trap?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a wall and a promise? 2. Who polices the wall, and how?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an ethical-wall design for a competing-interests case firm.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When is a wall structural, not personal? What does a well-designed wall specify?</w:t>
      </w:r>
    </w:p>
    <w:p>
      <w:r>
        <w:pict>
          <v:rect style="width:0;height:1.5pt" o:hralign="center" o:hrstd="t" o:hr="t"/>
        </w:pict>
      </w:r>
    </w:p>
    <w:bookmarkEnd w:id="25"/>
    <w:bookmarkStart w:id="26" w:name="X59d40e948e150df93a94cdbaed4286e6aa72077"/>
    <w:p>
      <w:pPr>
        <w:pStyle w:val="Heading2"/>
      </w:pPr>
      <w:r>
        <w:t xml:space="preserve">Session 7 — Organizational conflicts of interest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OCI categories; (2) explain why OCI is a knockout; (3) run an OCI screening.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helped write the requirement. Can you bid on it?</w:t>
      </w:r>
      <w:r>
        <w:t xml:space="preserve">”</w:t>
      </w:r>
      <w:r>
        <w:t xml:space="preserve"> </w:t>
      </w:r>
      <w:r>
        <w:t xml:space="preserve">- Teach (25 min): the OCI canon at concept altitude + doctrine/04. Biased ground rules, unequal access to information, impaired objectivity; the knockout logic.</w:t>
      </w:r>
      <w:r>
        <w:t xml:space="preserve"> </w:t>
      </w:r>
      <w:r>
        <w:t xml:space="preserve">- Apply (25 min): run a real solicitation and a case firm through the OCI categories; state the disposition.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is an unmitigable OCI a no-bid, not a risk?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an OCI and a mere conflict of interest? 2. When can an OCI be mitigated rather than avoided?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OCI canon and doctrine/04. Deliverable: an OCI screening memo for a case situation.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OCI categories? Why is OCI a knockout?</w:t>
      </w:r>
    </w:p>
    <w:p>
      <w:r>
        <w:pict>
          <v:rect style="width:0;height:1.5pt" o:hralign="center" o:hrstd="t" o:hr="t"/>
        </w:pict>
      </w:r>
    </w:p>
    <w:bookmarkEnd w:id="26"/>
    <w:bookmarkStart w:id="27" w:name="Xa9d2a6c0a017b2cd7e820b361a3db9dec56c287"/>
    <w:p>
      <w:pPr>
        <w:pStyle w:val="Heading2"/>
      </w:pPr>
      <w:r>
        <w:t xml:space="preserve">Session 8 — Governance of the pursuit organization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map decision rights across the pipeline; (2) name who can say yes, who can say no, who can escalate; (3) draw the governance map of an org.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In your organization, who can actually stop a pursuit?</w:t>
      </w:r>
      <w:r>
        <w:t xml:space="preserve">”</w:t>
      </w:r>
      <w:r>
        <w:t xml:space="preserve"> </w:t>
      </w:r>
      <w:r>
        <w:t xml:space="preserve">- Teach (25 min): doctrine/03 + doctrine/04. Decision rights, RACI, the accountability loop.</w:t>
      </w:r>
      <w:r>
        <w:t xml:space="preserve"> </w:t>
      </w:r>
      <w:r>
        <w:t xml:space="preserve">- Apply (25 min): draw the governance map of a pursuit organization — gates, owners, escalation, accountability.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does authority concentrate, and where should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happens when decision rights are unclear at a gate? 2. How does a small firm govern without a big org chart?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doctrine/04. Deliverable: the governance map of a pursuit org.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decision right? What is the accountability loop?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analysis of a real governance situation; (2) governance precision; (3) integrity discipline.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real governance situation is distributed. Students analyze the organization, its decision rights, its integrity exposure, and its OCI posture — and redesign it.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multi-organizational-forms"/>
    <w:p>
      <w:pPr>
        <w:pStyle w:val="Heading2"/>
      </w:pPr>
      <w:r>
        <w:t xml:space="preserve">Session 10 — Multi-organizational forms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describe prime/sub, JV, mentor-protege, and consortium as governance structures; (2) compare their decision rights; (3) identify each form’s failure modes.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Who decides — the prime or the team?</w:t>
      </w:r>
      <w:r>
        <w:t xml:space="preserve">”</w:t>
      </w:r>
      <w:r>
        <w:t xml:space="preserve"> </w:t>
      </w:r>
      <w:r>
        <w:t xml:space="preserve">- Teach (25 min): the teaming/JV canon at concept altitude + doctrine/07. The forms as governance structures; decision rights; seams.</w:t>
      </w:r>
      <w:r>
        <w:t xml:space="preserve"> </w:t>
      </w:r>
      <w:r>
        <w:t xml:space="preserve">- Apply (25 min): compare two organizational forms for a case pursuit — decision rights, risk, seams.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does a team’s governance break first?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form concentrates decision rights, and which distributes them? 2. What is the governance seam that most often breaks a JV?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teaming canon and doctrine/07. Deliverable: a comparison memo for two organizational forms.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multi-organizational forms allocate decision rights? What are their failure modes?</w:t>
      </w:r>
    </w:p>
    <w:p>
      <w:r>
        <w:pict>
          <v:rect style="width:0;height:1.5pt" o:hralign="center" o:hrstd="t" o:hr="t"/>
        </w:pict>
      </w:r>
    </w:p>
    <w:bookmarkEnd w:id="29"/>
    <w:bookmarkStart w:id="30" w:name="Xd28a07a9b0a373865c9191fa32602f2491c7d67"/>
    <w:p>
      <w:pPr>
        <w:pStyle w:val="Heading2"/>
      </w:pPr>
      <w:r>
        <w:t xml:space="preserve">Session 11 — Incentive design inside the firm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how internal incentives align with market incentives; (2) design an incentive structure; (3) use B&amp;P budgets as governance.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do you pay a capture team to chase the right things?</w:t>
      </w:r>
      <w:r>
        <w:t xml:space="preserve">”</w:t>
      </w:r>
      <w:r>
        <w:t xml:space="preserve"> </w:t>
      </w:r>
      <w:r>
        <w:t xml:space="preserve">- Teach (25 min): doctrine/05 + the course reader on organizational incentives. Compensation, authority, information; B&amp;P budgets as governance.</w:t>
      </w:r>
      <w:r>
        <w:t xml:space="preserve"> </w:t>
      </w:r>
      <w:r>
        <w:t xml:space="preserve">- Apply (25 min): design an incentive structure for a capture team that rewards disciplined pursuit, not volume of chasing.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bonus for wins do to the threshold discipline?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an incentive for wins distort the portfolio? 2. What should a capture team be measured 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an incentive-design memo for a capture team.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internal incentives shape pursuit behavior? How is a B&amp;P budget a governance tool?</w:t>
      </w:r>
    </w:p>
    <w:p>
      <w:r>
        <w:pict>
          <v:rect style="width:0;height:1.5pt" o:hralign="center" o:hrstd="t" o:hr="t"/>
        </w:pict>
      </w:r>
    </w:p>
    <w:bookmarkEnd w:id="30"/>
    <w:bookmarkStart w:id="31" w:name="session-12-governance-failures"/>
    <w:p>
      <w:pPr>
        <w:pStyle w:val="Heading2"/>
      </w:pPr>
      <w:r>
        <w:t xml:space="preserve">Session 12 — Governance failures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analyze a procurement scandal structurally; (2) identify the missing control; (3) design the prevention.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Name a procurement scandal. What was the missing control?</w:t>
      </w:r>
      <w:r>
        <w:t xml:space="preserve">”</w:t>
      </w:r>
      <w:r>
        <w:t xml:space="preserve"> </w:t>
      </w:r>
      <w:r>
        <w:t xml:space="preserve">- Teach (25 min): the course reader on procurement failures + doctrine/04. The anatomy of governance failure: incentives, walls, information, accountability.</w:t>
      </w:r>
      <w:r>
        <w:t xml:space="preserve"> </w:t>
      </w:r>
      <w:r>
        <w:t xml:space="preserve">- Apply (25 min): take a published scandal and write the control that would have prevented it.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Is the failure a bad actor or a bad system?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governance failure is most common, and why? 2. How do you design a control that survives a determined insider?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post-mortem memo with the preventive control.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anatomy of a governance failure? What control prevents it?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the-learning-organization"/>
    <w:p>
      <w:pPr>
        <w:pStyle w:val="Heading2"/>
      </w:pPr>
      <w:r>
        <w:t xml:space="preserve">Session 13 — The learning organization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design a debrief-and-retrospective system; (2) write honest-post-mortem rules; (3) connect the learning loop to organizational capability.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does an organization learn from a loss without blaming anyone?</w:t>
      </w:r>
      <w:r>
        <w:t xml:space="preserve">”</w:t>
      </w:r>
      <w:r>
        <w:t xml:space="preserve"> </w:t>
      </w:r>
      <w:r>
        <w:t xml:space="preserve">- Teach (25 min): doctrine/03 + doctrine/07. Debriefs, retrospectives, the learning loop (analyze → sequence → evolve).</w:t>
      </w:r>
      <w:r>
        <w:t xml:space="preserve"> </w:t>
      </w:r>
      <w:r>
        <w:t xml:space="preserve">- Apply (25 min): build a retrospective system for a pursuit org with the honest-post-mortem rules stated.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makes a retrospective a learning event rather than a blame exercise?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must a debrief capture to be worth the meeting? 2. How does an org make the learning loop a habit?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doctrine/07. Deliverable: a retrospective-system design.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learning loop, and how is it an organizational capability? What are honest-post-mortem rules?</w:t>
      </w:r>
    </w:p>
    <w:p>
      <w:r>
        <w:pict>
          <v:rect style="width:0;height:1.5pt" o:hralign="center" o:hrstd="t" o:hr="t"/>
        </w:pict>
      </w:r>
    </w:p>
    <w:bookmarkEnd w:id="32"/>
    <w:bookmarkStart w:id="33" w:name="Xa09f954cc761129feced614a3fe6e5e9f678a5c"/>
    <w:p>
      <w:pPr>
        <w:pStyle w:val="Heading2"/>
      </w:pPr>
      <w:r>
        <w:t xml:space="preserve">Session 14 — Synthesis: the governed pursuit organization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the course into one governance frame; (2) defend a complete governance design; (3) connect governance to the rest of the degree.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pursuit organization is a governance system — gates, walls, decision rights, and a learning loop. Defend or attack.</w:t>
      </w:r>
      <w:r>
        <w:t xml:space="preserve">”</w:t>
      </w:r>
      <w:r>
        <w:t xml:space="preserve"> </w:t>
      </w:r>
      <w:r>
        <w:t xml:space="preserve">- Teach (15 min): course synthesis.</w:t>
      </w:r>
      <w:r>
        <w:t xml:space="preserve"> </w:t>
      </w:r>
      <w:r>
        <w:t xml:space="preserve">- Apply (35 min): panel defense of the final governance designs; the panel probes the seams.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governance idea will you apply first in your own organization?</w:t>
      </w:r>
      <w:r>
        <w:t xml:space="preserve">”</w:t>
      </w:r>
      <w:r>
        <w:t xml:space="preserve"> </w:t>
      </w:r>
      <w:r>
        <w:t xml:space="preserve">- Close (5 min): bridge to GE 620 and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single most important governance control in a pursuit org? 2. How does good governance change the market’s trust in a firm?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paper,</w:t>
      </w:r>
      <w:r>
        <w:t xml:space="preserve"> </w:t>
      </w:r>
      <w:r>
        <w:t xml:space="preserve">“</w:t>
      </w:r>
      <w:r>
        <w:t xml:space="preserve">The governance of [your] pursuit organization,</w:t>
      </w:r>
      <w:r>
        <w:t xml:space="preserve">”</w:t>
      </w:r>
      <w:r>
        <w:t xml:space="preserve"> </w:t>
      </w:r>
      <w:r>
        <w:t xml:space="preserve">2,500 words.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are gates, walls, decision rights, and the learning loop one system?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38F68373-DDFC-4F14-BD6B-8CC6C4DB62A9}"/>
</file>

<file path=customXml/itemProps2.xml><?xml version="1.0" encoding="utf-8"?>
<ds:datastoreItem xmlns:ds="http://schemas.openxmlformats.org/officeDocument/2006/customXml" ds:itemID="{4912A796-42B2-4BB7-B9D9-450A62D43026}"/>
</file>

<file path=customXml/itemProps3.xml><?xml version="1.0" encoding="utf-8"?>
<ds:datastoreItem xmlns:ds="http://schemas.openxmlformats.org/officeDocument/2006/customXml" ds:itemID="{F1330AEB-FA8B-4E2C-979D-C4ADB861BE6E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2026-08-05T12:03:56Z</dcterms:created>
  <dcterms:modified xsi:type="dcterms:W3CDTF">2026-08-05T12:03:56Z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