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d0deaa9208bd6ffd6c23517411e9a521a2f9f9b"/>
    <w:p>
      <w:pPr>
        <w:pStyle w:val="Heading1"/>
      </w:pPr>
      <w:r>
        <w:t xml:space="preserve">Graduate Module — Microeconomics of Procurement &amp; Markets (GC 501)</w:t>
      </w:r>
    </w:p>
    <w:p>
      <w:pPr>
        <w:pStyle w:val="FirstParagraph"/>
      </w:pPr>
      <w:r>
        <w:rPr>
          <w:i/>
          <w:iCs/>
        </w:rPr>
        <w:t xml:space="preserve">The session-by-session teaching plan for GC 501. Follows the module contract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modules/module-template.md</w:t>
      </w:r>
      <w:r>
        <w:rPr>
          <w:i/>
          <w:iCs/>
        </w:rPr>
        <w:t xml:space="preserve">, extended to the 14-week graduate arc. Each session runs 75 minutes and assumes the weekly reading was done before class. The instructor is teaching economists-in-training, not tool-users: the canon is always at concept altitude (doctrine/08).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program foundations (or the bridge).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the doctrine and literacy folders, plus the course reader distributed weekly.</w:t>
      </w:r>
      <w:r>
        <w:t xml:space="preserve"> </w:t>
      </w:r>
      <w:r>
        <w:rPr>
          <w:b/>
          <w:bCs/>
        </w:rPr>
        <w:t xml:space="preserve">Case object:</w:t>
      </w:r>
      <w:r>
        <w:t xml:space="preserve"> </w:t>
      </w:r>
      <w:r>
        <w:t xml:space="preserve">Ravonics (case-study/ravonics.md) plus real, published-and-closed markets.</w:t>
      </w:r>
    </w:p>
    <w:p>
      <w:r>
        <w:pict>
          <v:rect style="width:0;height:1.5pt" o:hralign="center" o:hrstd="t" o:hr="t"/>
        </w:pict>
      </w:r>
    </w:p>
    <w:bookmarkStart w:id="20" w:name="Xbd6fb4b7a41b81fe5373d8d4dc56f17db90db00"/>
    <w:p>
      <w:pPr>
        <w:pStyle w:val="Heading2"/>
      </w:pPr>
      <w:r>
        <w:t xml:space="preserve">Session 1 — The market as an economic object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describe the federal market as a monopsony with published rules; (2) explain what the appropriation constraint does to demand; (3) identify the buyer’s</w:t>
      </w:r>
      <w:r>
        <w:t xml:space="preserve"> </w:t>
      </w:r>
      <w:r>
        <w:t xml:space="preserve">“</w:t>
      </w:r>
      <w:r>
        <w:t xml:space="preserve">utility function</w:t>
      </w:r>
      <w:r>
        <w:t xml:space="preserve">”</w:t>
      </w:r>
      <w:r>
        <w:t xml:space="preserve"> </w:t>
      </w:r>
      <w:r>
        <w:t xml:space="preserve">as a statute rather than a preference.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federal government is the largest buyer on Earth. What kind of buyer is it?</w:t>
      </w:r>
      <w:r>
        <w:t xml:space="preserve">”</w:t>
      </w:r>
      <w:r>
        <w:t xml:space="preserve"> </w:t>
      </w:r>
      <w:r>
        <w:t xml:space="preserve">— collect guesses.</w:t>
      </w:r>
      <w:r>
        <w:t xml:space="preserve"> </w:t>
      </w:r>
      <w:r>
        <w:t xml:space="preserve">- Teach (25 min): doctrine/01 + literacy/where-the-money-flows. One buyer, many sellers, published rules. Monopsony, the appropriation constraint, the buyer as a creature of statute.</w:t>
      </w:r>
      <w:r>
        <w:t xml:space="preserve"> </w:t>
      </w:r>
      <w:r>
        <w:t xml:space="preserve">- Apply (25 min): in pairs, pick one agency market and answer: who buys, what do they buy, who competes, and what constrains the buyer’s choices?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Where does the monopsony work for the buyer, and where does it create problems the rules have to solve?</w:t>
      </w:r>
      <w:r>
        <w:t xml:space="preserve">”</w:t>
      </w:r>
      <w:r>
        <w:t xml:space="preserve"> </w:t>
      </w:r>
      <w:r>
        <w:t xml:space="preserve">- Close (5 min): assignment and preview of public economics.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would a rational federal buyer maximize — and who decides what</w:t>
      </w:r>
      <w:r>
        <w:t xml:space="preserve"> </w:t>
      </w:r>
      <w:r>
        <w:t xml:space="preserve">“</w:t>
      </w:r>
      <w:r>
        <w:t xml:space="preserve">rational</w:t>
      </w:r>
      <w:r>
        <w:t xml:space="preserve">”</w:t>
      </w:r>
      <w:r>
        <w:t xml:space="preserve"> </w:t>
      </w:r>
      <w:r>
        <w:t xml:space="preserve">means? 2. How does the public nature of the buyer change how firms should compete?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doctrine/01. Deliverable: a one-page economic map of one agency market — buyer, goods, competitors, constraints.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monopsony, and how does it describe the federal market? Why is the buyer’s objective a statute, not a preference?</w:t>
      </w:r>
    </w:p>
    <w:p>
      <w:r>
        <w:pict>
          <v:rect style="width:0;height:1.5pt" o:hralign="center" o:hrstd="t" o:hr="t"/>
        </w:pict>
      </w:r>
    </w:p>
    <w:bookmarkEnd w:id="20"/>
    <w:bookmarkStart w:id="21" w:name="X264a6f1ec4379ebe7f89514183972fcadbf55f6"/>
    <w:p>
      <w:pPr>
        <w:pStyle w:val="Heading2"/>
      </w:pPr>
      <w:r>
        <w:t xml:space="preserve">Session 2 — Why government buys: public goods and the demand side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public goods and externalities in the procurement context; (2) connect a mission to the goods it buys; (3) read a demand signal from an agency’s published priorities.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Name something the government buys that a private customer would not buy at all.</w:t>
      </w:r>
      <w:r>
        <w:t xml:space="preserve">”</w:t>
      </w:r>
      <w:r>
        <w:t xml:space="preserve"> </w:t>
      </w:r>
      <w:r>
        <w:t xml:space="preserve">- Teach (25 min): the course reader on public economics. Public goods, externalities, and the missions that justify spending.</w:t>
      </w:r>
      <w:r>
        <w:t xml:space="preserve"> </w:t>
      </w:r>
      <w:r>
        <w:t xml:space="preserve">- Apply (25 min): take one agency’s published strategic plan/budget justification; extract the missions and translate them into categories of demand.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the mission changes, how does the demand signal reach the market?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federal purchases are true public goods, and which are private goods the state happens to buy? 2. How should a firm read an agency’s budget justification as a demand forecast?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 and the course reader. Deliverable: a one-page memo on the public purpose your agency’s spending serves and how it shapes what it buys.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public good, and is most federal contracting one? How does a mission translate into demand?</w:t>
      </w:r>
    </w:p>
    <w:p>
      <w:r>
        <w:pict>
          <v:rect style="width:0;height:1.5pt" o:hralign="center" o:hrstd="t" o:hr="t"/>
        </w:pict>
      </w:r>
    </w:p>
    <w:bookmarkEnd w:id="21"/>
    <w:bookmarkStart w:id="22" w:name="X7dda204cd9c7bfc75be864cb4cdb0c15f34dd0a"/>
    <w:p>
      <w:pPr>
        <w:pStyle w:val="Heading2"/>
      </w:pPr>
      <w:r>
        <w:t xml:space="preserve">Session 3 — Markets vs. hierarchies: transaction costs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transaction-cost logic of make vs. buy; (2) apply it to the firm’s capability boundary; (3) explain why the government contracts rather than hires.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Why does the government hire some people and contract for others?</w:t>
      </w:r>
      <w:r>
        <w:t xml:space="preserve">”</w:t>
      </w:r>
      <w:r>
        <w:t xml:space="preserve"> </w:t>
      </w:r>
      <w:r>
        <w:t xml:space="preserve">- Teach (25 min): the course reader on transaction-cost economics (Coase, Williamson). Markets, hierarchies, and the costs of using the market.</w:t>
      </w:r>
      <w:r>
        <w:t xml:space="preserve"> </w:t>
      </w:r>
      <w:r>
        <w:t xml:space="preserve">- Apply (25 min): for the case firm (Ravonics), run a make/buy analysis: which capabilities stay in-house, which are bought, which are teamed — on transaction-cost grounds.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does contracting out create a worse outcome than hiring — and what does the rulebook do about it?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are the transaction costs of federal procurement, and who bears them? 2. When is a capability better kept inside the firm despite the cost?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doctrine/03. Deliverable: a one-page make/buy/team analysis for the case firm.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transaction cost? Why does asset specificity push transactions into hierarchies?</w:t>
      </w:r>
    </w:p>
    <w:p>
      <w:r>
        <w:pict>
          <v:rect style="width:0;height:1.5pt" o:hralign="center" o:hrstd="t" o:hr="t"/>
        </w:pict>
      </w:r>
    </w:p>
    <w:bookmarkEnd w:id="22"/>
    <w:bookmarkStart w:id="23" w:name="Xda16f7078d243f3b85788c9c296c9359479b407"/>
    <w:p>
      <w:pPr>
        <w:pStyle w:val="Heading2"/>
      </w:pPr>
      <w:r>
        <w:t xml:space="preserve">Session 4 — Information and the rules: why a rulebook exists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adverse selection and moral hazard in procurement; (2) describe the FAR-like rules as information-forcing; (3) locate the disclosure requirements in a real solicitation.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does the buyer not know that the seller knows?</w:t>
      </w:r>
      <w:r>
        <w:t xml:space="preserve">”</w:t>
      </w:r>
      <w:r>
        <w:t xml:space="preserve"> </w:t>
      </w:r>
      <w:r>
        <w:t xml:space="preserve">- Teach (25 min): the course reader on the economics of information. Adverse selection (the bidder who knows their cost), moral hazard (the performer who knows their effort).</w:t>
      </w:r>
      <w:r>
        <w:t xml:space="preserve"> </w:t>
      </w:r>
      <w:r>
        <w:t xml:space="preserve">- Apply (25 min): in teams, find three places in a real RFP where the rules force information to be disclosed (certifications, past performance, key personnel, cost data).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If the rules were a private contract, which clauses would the buyer insist on?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does competition mitigate adverse selection — and when does it fail? 2. What is the moral-hazard problem after award, and which clause addresses it?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 and literacy/how-to-read-an-rfp. Deliverable: a short paper locating three information-forcing mechanisms in a real RFP and their economic rationale.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adverse selection and moral hazard? How does the FAR-like rulebook force information out?</w:t>
      </w:r>
    </w:p>
    <w:p>
      <w:r>
        <w:pict>
          <v:rect style="width:0;height:1.5pt" o:hralign="center" o:hrstd="t" o:hr="t"/>
        </w:pict>
      </w:r>
    </w:p>
    <w:bookmarkEnd w:id="23"/>
    <w:bookmarkStart w:id="24" w:name="session-5-auctions-i-the-mechanics"/>
    <w:p>
      <w:pPr>
        <w:pStyle w:val="Heading2"/>
      </w:pPr>
      <w:r>
        <w:t xml:space="preserve">Session 5 — Auctions I: the mechanics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distinguish open vs. sealed, first-price vs. second-price; (2) explain a reserve price; (3) map federal sealed bidding onto auction theory.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are bidding against two rivals you cannot see. What do you bid?</w:t>
      </w:r>
      <w:r>
        <w:t xml:space="preserve">”</w:t>
      </w:r>
      <w:r>
        <w:t xml:space="preserve"> </w:t>
      </w:r>
      <w:r>
        <w:t xml:space="preserve">- Teach (25 min): the course reader on auction theory. Auction forms, the Vickrey insight, reserve prices, the revenue-equivalence result.</w:t>
      </w:r>
      <w:r>
        <w:t xml:space="preserve"> </w:t>
      </w:r>
      <w:r>
        <w:t xml:space="preserve">- Apply (25 min): model a sealed-bid competition with simple cost assumptions; find the equilibrium bid.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the government prefer sealed bidding for many buys, and what does that do to bidder behavior?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In a sealed first-price auction, why do bidders shade their bids? 2. What does a reserve price do to entry and to bids?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doctrine/02. Deliverable: a worked exercise modeling a sealed-bid competition and its equilibrium.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bid shading, and why does it happen? What is the difference between first-price and second-price?</w:t>
      </w:r>
    </w:p>
    <w:p>
      <w:r>
        <w:pict>
          <v:rect style="width:0;height:1.5pt" o:hralign="center" o:hrstd="t" o:hr="t"/>
        </w:pict>
      </w:r>
    </w:p>
    <w:bookmarkEnd w:id="24"/>
    <w:bookmarkStart w:id="25" w:name="X37098e8967185a3a69542c89237c2aa1505537b"/>
    <w:p>
      <w:pPr>
        <w:pStyle w:val="Heading2"/>
      </w:pPr>
      <w:r>
        <w:t xml:space="preserve">Session 6 — Auctions II: the winner’s curse and best value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winner’s curse in common-value auctions; (2) explain why LPTA rewards the most optimistic cost estimate; (3) describe best-value procurement as a multi-attribute auction.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winner of a price-only auction just discovered the true cost. What did they win?</w:t>
      </w:r>
      <w:r>
        <w:t xml:space="preserve">”</w:t>
      </w:r>
      <w:r>
        <w:t xml:space="preserve"> </w:t>
      </w:r>
      <w:r>
        <w:t xml:space="preserve">- Teach (25 min): the course reader on the winner’s curse and multi-attribute auctions. Common-value uncertainty, the curse, and why disciplined bidders shade toward realism.</w:t>
      </w:r>
      <w:r>
        <w:t xml:space="preserve"> </w:t>
      </w:r>
      <w:r>
        <w:t xml:space="preserve">- Apply (25 min): analyze a real LPTA solicitation: where is the common-value uncertainty, and what discipline protects a bidder from the curse?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best-value procurement exist if it is harder to run fairly?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does a bidder estimate the winner’s curse and bid against it? 2. In a best-value competition, what does the evaluator’s preference weighting do to the price-quality trade-off?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one-page winner’s-curse analysis of a real LPTA solicitation.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winner’s curse, and why is it strongest in LPTA? What is best-value procurement as an auction?</w:t>
      </w:r>
    </w:p>
    <w:p>
      <w:r>
        <w:pict>
          <v:rect style="width:0;height:1.5pt" o:hralign="center" o:hrstd="t" o:hr="t"/>
        </w:pict>
      </w:r>
    </w:p>
    <w:bookmarkEnd w:id="25"/>
    <w:bookmarkStart w:id="26" w:name="X0707629d0a1447f0f7c7f2aabf94b960306123e"/>
    <w:p>
      <w:pPr>
        <w:pStyle w:val="Heading2"/>
      </w:pPr>
      <w:r>
        <w:t xml:space="preserve">Session 7 — Market design: set-asides and the small-business universe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small-business programs as statutory market design; (2) evaluate the efficiency and equity trade-offs of restricted pools; (3) argue both sides of a set-aside debate.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Is a set-aside an advantage or a correction?</w:t>
      </w:r>
      <w:r>
        <w:t xml:space="preserve">”</w:t>
      </w:r>
      <w:r>
        <w:t xml:space="preserve"> </w:t>
      </w:r>
      <w:r>
        <w:t xml:space="preserve">- Teach (25 min): doctrine/01 + the SBA size-standards in plain language. The small-business universe as a design; restricted pools as deliberate policy.</w:t>
      </w:r>
      <w:r>
        <w:t xml:space="preserve"> </w:t>
      </w:r>
      <w:r>
        <w:t xml:space="preserve">- Apply (25 min): the policy debate. Split the room: one side defends set-asides as the equity instrument, the other attacks them as distortion. Use the case firm (a HUBZone firm) as the concrete object.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How would you measure whether a small-business program works?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economic cost of a restricted pool, and who pays it? 2. When does a set-aside fail its intended beneficiaries?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 and literacy/glossary (small-business section). Deliverable: a one-page policy brief evaluating one small-business program as market design.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problem do set-asides solve, and what do they cost? How is eligibility an equity instrument?</w:t>
      </w:r>
    </w:p>
    <w:p>
      <w:r>
        <w:pict>
          <v:rect style="width:0;height:1.5pt" o:hralign="center" o:hrstd="t" o:hr="t"/>
        </w:pict>
      </w:r>
    </w:p>
    <w:bookmarkEnd w:id="26"/>
    <w:bookmarkStart w:id="27" w:name="session-8-cost-economics-of-the-firm"/>
    <w:p>
      <w:pPr>
        <w:pStyle w:val="Heading2"/>
      </w:pPr>
      <w:r>
        <w:t xml:space="preserve">Session 8 — Cost economics of the firm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distinguish fixed vs. variable cost; (2) explain economies of scale and scope; (3) build the fully-burdened cost floor as a supply curve for a pursuit.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is a firm’s supply curve for one pursuit?</w:t>
      </w:r>
      <w:r>
        <w:t xml:space="preserve">”</w:t>
      </w:r>
      <w:r>
        <w:t xml:space="preserve"> </w:t>
      </w:r>
      <w:r>
        <w:t xml:space="preserve">- Teach (25 min): the course reader on cost curves + doctrine/05. Fixed vs. variable, scale, scope, and the burden chain beneath the price.</w:t>
      </w:r>
      <w:r>
        <w:t xml:space="preserve"> </w:t>
      </w:r>
      <w:r>
        <w:t xml:space="preserve">- Apply (25 min): build a simple cost-structure model for the case firm: direct labor, burden layers, cost floor per labor category.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Where does the cost floor sit, and what happens to a firm that prices below it?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of a firm’s costs are truly fixed, and how does that change pricing flexibility? 2. How do economies of scope across pursuits change the cost floor of each?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cost-structure model for a case firm with the cost floor per category shown.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fully-burdened cost floor? Why is pricing below it a business risk, not a gift?</w:t>
      </w:r>
    </w:p>
    <w:p>
      <w:r>
        <w:pict>
          <v:rect style="width:0;height:1.5pt" o:hralign="center" o:hrstd="t" o:hr="t"/>
        </w:pict>
      </w:r>
    </w:p>
    <w:bookmarkEnd w:id="27"/>
    <w:bookmarkStart w:id="28" w:name="session-9-midterm"/>
    <w:p>
      <w:pPr>
        <w:pStyle w:val="Heading2"/>
      </w:pPr>
      <w:r>
        <w:t xml:space="preserve">Session 9 — Midterm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demonstrate: (1) application of the first eight weeks to a real market; (2) economic explanation, not recitation; (3) honest use of public data.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exam logistics.</w:t>
      </w:r>
      <w:r>
        <w:t xml:space="preserve"> </w:t>
      </w:r>
      <w:r>
        <w:t xml:space="preserve">- Exam (65 min): a real (published, closed) market is distributed. Students explain its behavior (monopsony, public goods, information), model an auction within it, and state the cost-floor economics of competing in it.</w:t>
      </w:r>
      <w:r>
        <w:t xml:space="preserve"> </w:t>
      </w:r>
      <w:r>
        <w:t xml:space="preserve">- Close (5 min): what to review for the second half.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n/a (examination).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Review weeks 1–8. Deliverable: midterm submission.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n/a.</w:t>
      </w:r>
    </w:p>
    <w:p>
      <w:r>
        <w:pict>
          <v:rect style="width:0;height:1.5pt" o:hralign="center" o:hrstd="t" o:hr="t"/>
        </w:pict>
      </w:r>
    </w:p>
    <w:bookmarkEnd w:id="28"/>
    <w:bookmarkStart w:id="29" w:name="Xc1f0283f690408c166c40289c4b4af7c2270a08"/>
    <w:p>
      <w:pPr>
        <w:pStyle w:val="Heading2"/>
      </w:pPr>
      <w:r>
        <w:t xml:space="preserve">Session 10 — Contract economics: risk and incentive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contract type as a risk-allocation device; (2) identify who bears cost risk and performance risk in each type; (3) explain the margin-floor concept per contract type.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Same work, two contracts. Which is the better business for the firm?</w:t>
      </w:r>
      <w:r>
        <w:t xml:space="preserve">”</w:t>
      </w:r>
      <w:r>
        <w:t xml:space="preserve"> </w:t>
      </w:r>
      <w:r>
        <w:t xml:space="preserve">- Teach (25 min): the course reader on contract design + doctrine/05. FFP, T&amp;M, FFP-LoE, CPFF, CPAF, CPIF as risk-incentive bundles; the margin-floor discipline at concept altitude.</w:t>
      </w:r>
      <w:r>
        <w:t xml:space="preserve"> </w:t>
      </w:r>
      <w:r>
        <w:t xml:space="preserve">- Apply (25 min): build the risk-incentive matrix for three contract types.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a firm ever bid cost-plus if FFP pays better when you win?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Who bears the cost-overrun risk in each type, and what does that do to the firm’s incentive to control cost? 2. Why does the margin floor differ by contract type?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the risk-incentive matrix for three contract types.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does contract type allocate risk? Why is the FFP floor higher than the CPFF fee?</w:t>
      </w:r>
    </w:p>
    <w:p>
      <w:r>
        <w:pict>
          <v:rect style="width:0;height:1.5pt" o:hralign="center" o:hrstd="t" o:hr="t"/>
        </w:pict>
      </w:r>
    </w:p>
    <w:bookmarkEnd w:id="29"/>
    <w:bookmarkStart w:id="30" w:name="Xacdf61e5d6c6ed6da6bc0f18170ca9bf37f0416"/>
    <w:p>
      <w:pPr>
        <w:pStyle w:val="Heading2"/>
      </w:pPr>
      <w:r>
        <w:t xml:space="preserve">Session 11 — Industrial organization of federal contracting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measure concentration in a market segment; (2) explain incumbent advantage economically; (3) identify entry barriers.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Who wins most of the work in your segment — and why?</w:t>
      </w:r>
      <w:r>
        <w:t xml:space="preserve">”</w:t>
      </w:r>
      <w:r>
        <w:t xml:space="preserve"> </w:t>
      </w:r>
      <w:r>
        <w:t xml:space="preserve">- Teach (25 min): the course reader on industrial organization + doctrine/07. Concentration, entry barriers (registrations, certifications, clearances, past performance), incumbency.</w:t>
      </w:r>
      <w:r>
        <w:t xml:space="preserve"> </w:t>
      </w:r>
      <w:r>
        <w:t xml:space="preserve">- Apply (25 min): analyze a real market segment from public award data: concentration, the incumbent, the entry barriers.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Is a high win rate evidence of superiority, or of a barrier?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entry barriers are real economic barriers, and which are paperwork? 2. How does incumbency pressure behave as a signal of displacement difficulty?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doctrine/07. Deliverable: a market-structure memo for a real segment with concentration and barriers identified.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economic sources of incumbent advantage? Which entry barriers matter most?</w:t>
      </w:r>
    </w:p>
    <w:p>
      <w:r>
        <w:pict>
          <v:rect style="width:0;height:1.5pt" o:hralign="center" o:hrstd="t" o:hr="t"/>
        </w:pict>
      </w:r>
    </w:p>
    <w:bookmarkEnd w:id="30"/>
    <w:bookmarkStart w:id="31" w:name="Xe234480f879427adf36643a09abefef62ce96b0"/>
    <w:p>
      <w:pPr>
        <w:pStyle w:val="Heading2"/>
      </w:pPr>
      <w:r>
        <w:t xml:space="preserve">Session 12 — Pricing behavior: floors, ceilings, and the competitive band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name the three pricing anchors; (2) explain how strategy weights them; (3) compute a target price with margin at target.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three numbers do you need before you can price a pursuit?</w:t>
      </w:r>
      <w:r>
        <w:t xml:space="preserve">”</w:t>
      </w:r>
      <w:r>
        <w:t xml:space="preserve"> </w:t>
      </w:r>
      <w:r>
        <w:t xml:space="preserve">- Teach (25 min): doctrine/05 + the pricing canon at concept altitude. Competitor band, customer affordability ceiling, cost-plus floor; strategy weightings; the margin at target.</w:t>
      </w:r>
      <w:r>
        <w:t xml:space="preserve"> </w:t>
      </w:r>
      <w:r>
        <w:t xml:space="preserve">- Apply (25 min): set a price-to-win for a case pursuit: the band, the ceiling, the floor, the target, the margin.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the floor and the ceiling overlap nowhere, what is the rational move?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anchor dominates in an LPTA, and which in a best-value trade-off? 2. Why is a price below the floor worse than a loss?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the pricing exercise for a case pursuit with all three anchors shown.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three anchors of a price-to-win? What is the margin at target, and why does the floor bind?</w:t>
      </w:r>
    </w:p>
    <w:p>
      <w:r>
        <w:pict>
          <v:rect style="width:0;height:1.5pt" o:hralign="center" o:hrstd="t" o:hr="t"/>
        </w:pict>
      </w:r>
    </w:p>
    <w:bookmarkEnd w:id="31"/>
    <w:bookmarkStart w:id="32" w:name="X9a8138f19f7e96e6111d2a12f7043c3ba2ce9c4"/>
    <w:p>
      <w:pPr>
        <w:pStyle w:val="Heading2"/>
      </w:pPr>
      <w:r>
        <w:t xml:space="preserve">Session 13 — The pursuit as a portfolio of real options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model a pipeline as a portfolio; (2) treat capacity as the scarce resource; (3) apply threshold discipline as an exercise price.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If you had one capture team and ten opportunities, what is the economically correct choice?</w:t>
      </w:r>
      <w:r>
        <w:t xml:space="preserve">”</w:t>
      </w:r>
      <w:r>
        <w:t xml:space="preserve"> </w:t>
      </w:r>
      <w:r>
        <w:t xml:space="preserve">- Teach (25 min): doctrine/03 + doctrine/05. The pipeline as a funnel; pursuits as options; capacity as the budget; the threshold as the exercise price.</w:t>
      </w:r>
      <w:r>
        <w:t xml:space="preserve"> </w:t>
      </w:r>
      <w:r>
        <w:t xml:space="preserve">- Apply (25 min): allocate a fixed capture-capacity budget across a set of scored opportunities; defend the allocation.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is it rational to pursue a below-threshold bet?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does the portfolio view change a firm’s appetite for risk in one pursuit? 2. What is the option value of a pursuit — and when is it destroyed?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doctrine/03 and doctrine/05. Deliverable: a portfolio memo allocating a capacity budget across scored opportunities.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Why is capacity the scarce resource in pursuit? How does threshold discipline behave like an exercise price?</w:t>
      </w:r>
    </w:p>
    <w:p>
      <w:r>
        <w:pict>
          <v:rect style="width:0;height:1.5pt" o:hralign="center" o:hrstd="t" o:hr="t"/>
        </w:pict>
      </w:r>
    </w:p>
    <w:bookmarkEnd w:id="32"/>
    <w:bookmarkStart w:id="33" w:name="Xd15974f70eae27ae051adf26ca290a539e01d3c"/>
    <w:p>
      <w:pPr>
        <w:pStyle w:val="Heading2"/>
      </w:pPr>
      <w:r>
        <w:t xml:space="preserve">Session 14 — Synthesis: the economics of a pursuit organization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integrate the course into one economic frame; (2) defend a synthesis paper; (3) connect the economics to the rest of the degree.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A pursuit organization, as an economic entity, buys information, holds options, prices risk, and converts capacity into margin. Defend or attack.</w:t>
      </w:r>
      <w:r>
        <w:t xml:space="preserve">”</w:t>
      </w:r>
      <w:r>
        <w:t xml:space="preserve"> </w:t>
      </w:r>
      <w:r>
        <w:t xml:space="preserve">- Teach (15 min): course synthesis — the economic entity view.</w:t>
      </w:r>
      <w:r>
        <w:t xml:space="preserve"> </w:t>
      </w:r>
      <w:r>
        <w:t xml:space="preserve">- Apply (35 min): panel defense of the synthesis papers; the panel probes the economics.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of these economic ideas will you actually use — and where does the discipline’s folklore still beat the theory?</w:t>
      </w:r>
      <w:r>
        <w:t xml:space="preserve">”</w:t>
      </w:r>
      <w:r>
        <w:t xml:space="preserve"> </w:t>
      </w:r>
      <w:r>
        <w:t xml:space="preserve">- Close (5 min): bridge to GC 510 and the capstone.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Where does the economics of procurement meet its limit, and what fills the gap? 2. What would you measure in your own organization after this course?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Course synthesis. Deliverable: final synthesis paper,</w:t>
      </w:r>
      <w:r>
        <w:t xml:space="preserve"> </w:t>
      </w:r>
      <w:r>
        <w:t xml:space="preserve">“</w:t>
      </w:r>
      <w:r>
        <w:t xml:space="preserve">The economics of [your] pursuit organization,</w:t>
      </w:r>
      <w:r>
        <w:t xml:space="preserve">”</w:t>
      </w:r>
      <w:r>
        <w:t xml:space="preserve"> </w:t>
      </w:r>
      <w:r>
        <w:t xml:space="preserve">2,500 words.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are the market side and the firm side one economic story? What is the one idea you will carry forward?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1A88F9FE-65EF-40E9-B5A2-B131250D8E46}"/>
</file>

<file path=customXml/itemProps2.xml><?xml version="1.0" encoding="utf-8"?>
<ds:datastoreItem xmlns:ds="http://schemas.openxmlformats.org/officeDocument/2006/customXml" ds:itemID="{B9814AE3-EBD9-4E41-B30D-4B12CA73E002}"/>
</file>

<file path=customXml/itemProps3.xml><?xml version="1.0" encoding="utf-8"?>
<ds:datastoreItem xmlns:ds="http://schemas.openxmlformats.org/officeDocument/2006/customXml" ds:itemID="{46A287C6-DE4E-4B78-A636-FA5E1BD97BDE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2026-08-05T12:03:55Z</dcterms:created>
  <dcterms:modified xsi:type="dcterms:W3CDTF">2026-08-05T12:03:55Z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