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8" w:name="X25e948e416ce67449f5a0c9eff2965f3bb184dd"/>
    <w:p>
      <w:pPr>
        <w:pStyle w:val="Heading1"/>
      </w:pPr>
      <w:r>
        <w:t xml:space="preserve">Graduate Module — Orals Coaching &amp; Presentation Discipline (GE 651)</w:t>
      </w:r>
    </w:p>
    <w:p>
      <w:pPr>
        <w:pStyle w:val="FirstParagraph"/>
      </w:pPr>
      <w:r>
        <w:rPr>
          <w:i/>
          <w:iCs/>
        </w:rPr>
        <w:t xml:space="preserve">The session-by-session teaching plan for GE 651, a focused six-session elective. Follows the module contract in</w:t>
      </w:r>
      <w:r>
        <w:rPr>
          <w:i/>
          <w:iCs/>
        </w:rPr>
        <w:t xml:space="preserve"> </w:t>
      </w:r>
      <w:r>
        <w:rPr>
          <w:rStyle w:val="VerbatimChar"/>
          <w:i/>
          <w:iCs/>
        </w:rPr>
        <w:t xml:space="preserve">modules/module-template.md</w:t>
      </w:r>
      <w:r>
        <w:rPr>
          <w:i/>
          <w:iCs/>
        </w:rPr>
        <w:t xml:space="preserve">. Doctrine 10 names the rules of orals — the proposal in person — but nothing in the curriculum teaches the coaching discipline that makes a team good in the room. This elective is that gap: who presents, how the rehearsal is run, how hard questions are handled, how a virtual oral is won, and how a color-team-style critique turns a live rehearsal into a sharper performance. The orals-coaching canon is at concept altitude (doctrine/08).</w:t>
      </w:r>
    </w:p>
    <w:p>
      <w:pPr>
        <w:pStyle w:val="BodyText"/>
      </w:pPr>
      <w:r>
        <w:rPr>
          <w:b/>
          <w:bCs/>
        </w:rPr>
        <w:t xml:space="preserve">Audience:</w:t>
      </w:r>
      <w:r>
        <w:t xml:space="preserve"> </w:t>
      </w:r>
      <w:r>
        <w:t xml:space="preserve">graduate students in the MS program.</w:t>
      </w:r>
      <w:r>
        <w:t xml:space="preserve"> </w:t>
      </w:r>
      <w:r>
        <w:rPr>
          <w:b/>
          <w:bCs/>
        </w:rPr>
        <w:t xml:space="preserve">Prerequisites:</w:t>
      </w:r>
      <w:r>
        <w:t xml:space="preserve"> </w:t>
      </w:r>
      <w:r>
        <w:t xml:space="preserve">GE 640 recommended (proposal management &amp; color teams); doctrine/10 required.</w:t>
      </w:r>
      <w:r>
        <w:t xml:space="preserve"> </w:t>
      </w:r>
      <w:r>
        <w:rPr>
          <w:b/>
          <w:bCs/>
        </w:rPr>
        <w:t xml:space="preserve">Readings:</w:t>
      </w:r>
      <w:r>
        <w:t xml:space="preserve"> </w:t>
      </w:r>
      <w:r>
        <w:t xml:space="preserve">doctrine/10, the Shipley orals canon, and the course reader on oral presentation and coaching.</w:t>
      </w:r>
      <w:r>
        <w:t xml:space="preserve"> </w:t>
      </w:r>
      <w:r>
        <w:rPr>
          <w:b/>
          <w:bCs/>
        </w:rPr>
        <w:t xml:space="preserve">Case object:</w:t>
      </w:r>
      <w:r>
        <w:t xml:space="preserve"> </w:t>
      </w:r>
      <w:r>
        <w:t xml:space="preserve">Ravonics and real (closed) RFPs with oral evaluation components.</w:t>
      </w:r>
    </w:p>
    <w:p>
      <w:r>
        <w:pict>
          <v:rect style="width:0;height:1.5pt" o:hralign="center" o:hrstd="t" o:hr="t"/>
        </w:pict>
      </w:r>
    </w:p>
    <w:bookmarkStart w:id="20" w:name="session-1-the-orals-architecture"/>
    <w:p>
      <w:pPr>
        <w:pStyle w:val="Heading2"/>
      </w:pPr>
      <w:r>
        <w:t xml:space="preserve">Session 1 — The orals architecture</w:t>
      </w:r>
    </w:p>
    <w:p>
      <w:pPr>
        <w:pStyle w:val="FirstParagraph"/>
      </w:pPr>
      <w:r>
        <w:rPr>
          <w:b/>
          <w:bCs/>
        </w:rPr>
        <w:t xml:space="preserve">Learning objectives.</w:t>
      </w:r>
      <w:r>
        <w:t xml:space="preserve"> </w:t>
      </w:r>
      <w:r>
        <w:t xml:space="preserve">By the end of this session, students can: (1) design the orals team — who presents, who answers, who observes; (2) set the presentation length and the agenda-deck structure; (3) map the deck onto the evaluation factors.</w:t>
      </w:r>
    </w:p>
    <w:p>
      <w:pPr>
        <w:pStyle w:val="BodyText"/>
      </w:pPr>
      <w:r>
        <w:rPr>
          <w:b/>
          <w:bCs/>
        </w:rPr>
        <w:t xml:space="preserve">Session plan (75 min).</w:t>
      </w:r>
      <w:r>
        <w:t xml:space="preserve"> </w:t>
      </w:r>
      <w:r>
        <w:t xml:space="preserve">- Open (5 min):</w:t>
      </w:r>
      <w:r>
        <w:t xml:space="preserve"> </w:t>
      </w:r>
      <w:r>
        <w:t xml:space="preserve">“</w:t>
      </w:r>
      <w:r>
        <w:t xml:space="preserve">The proposal is on the page. Why does the government still want to meet the people?</w:t>
      </w:r>
      <w:r>
        <w:t xml:space="preserve">”</w:t>
      </w:r>
      <w:r>
        <w:t xml:space="preserve"> </w:t>
      </w:r>
      <w:r>
        <w:t xml:space="preserve">- Teach (25 min): doctrine/10 + the orals-architecture canon. Orals as the proposal in person — themes, discriminators, and price posture align exactly with what was submitted. The four roles: presenters, subject-matter answerers, the observer-note-taker, and the timekeeper. One voice per topic; roles pre-decided before the room. The agenda deck: opening statement, theme and discriminator walk, evidence for the evaluation factors, personnel and management, price posture, closing. Length discipline: the deck fits the evaluation window, never the reverse.</w:t>
      </w:r>
      <w:r>
        <w:t xml:space="preserve"> </w:t>
      </w:r>
      <w:r>
        <w:t xml:space="preserve">- Apply (25 min): build the orals architecture for a case pursuit — the roster, the agenda-deck outline, and the time budget against the evaluation factors.</w:t>
      </w:r>
      <w:r>
        <w:t xml:space="preserve"> </w:t>
      </w:r>
      <w:r>
        <w:t xml:space="preserve">- Discuss (15 min):</w:t>
      </w:r>
      <w:r>
        <w:t xml:space="preserve"> </w:t>
      </w:r>
      <w:r>
        <w:t xml:space="preserve">“</w:t>
      </w:r>
      <w:r>
        <w:t xml:space="preserve">What changes when an evaluator meets the people, not just the pages?</w:t>
      </w:r>
      <w:r>
        <w:t xml:space="preserve">”</w:t>
      </w:r>
      <w:r>
        <w:t xml:space="preserve"> </w:t>
      </w:r>
      <w:r>
        <w:t xml:space="preserve">- Close (5 min): assignment.</w:t>
      </w:r>
    </w:p>
    <w:p>
      <w:pPr>
        <w:pStyle w:val="BodyText"/>
      </w:pPr>
      <w:r>
        <w:rPr>
          <w:b/>
          <w:bCs/>
        </w:rPr>
        <w:t xml:space="preserve">Discussion prompts.</w:t>
      </w:r>
      <w:r>
        <w:t xml:space="preserve"> </w:t>
      </w:r>
      <w:r>
        <w:t xml:space="preserve">1. Why does the deck fit the time window rather than the content? 2. When is the presenter the wrong person to answer a technical question?</w:t>
      </w:r>
    </w:p>
    <w:p>
      <w:pPr>
        <w:pStyle w:val="BodyText"/>
      </w:pPr>
      <w:r>
        <w:rPr>
          <w:b/>
          <w:bCs/>
        </w:rPr>
        <w:t xml:space="preserve">Homework / reading.</w:t>
      </w:r>
      <w:r>
        <w:t xml:space="preserve"> </w:t>
      </w:r>
      <w:r>
        <w:t xml:space="preserve">Read doctrine/10. Deliverable: a one-page orals architecture for a case pursuit — roster with roles, agenda-deck outline, time budget per section.</w:t>
      </w:r>
    </w:p>
    <w:p>
      <w:pPr>
        <w:pStyle w:val="BodyText"/>
      </w:pPr>
      <w:r>
        <w:rPr>
          <w:b/>
          <w:bCs/>
        </w:rPr>
        <w:t xml:space="preserve">Comprehension check.</w:t>
      </w:r>
      <w:r>
        <w:t xml:space="preserve"> </w:t>
      </w:r>
      <w:r>
        <w:t xml:space="preserve">Who fills the four orals roles, and what does each do? How is the agenda deck sized, and why does the time window win?</w:t>
      </w:r>
    </w:p>
    <w:p>
      <w:r>
        <w:pict>
          <v:rect style="width:0;height:1.5pt" o:hralign="center" o:hrstd="t" o:hr="t"/>
        </w:pict>
      </w:r>
    </w:p>
    <w:bookmarkEnd w:id="20"/>
    <w:bookmarkStart w:id="21" w:name="session-2-the-rehearsal-protocol"/>
    <w:p>
      <w:pPr>
        <w:pStyle w:val="Heading2"/>
      </w:pPr>
      <w:r>
        <w:t xml:space="preserve">Session 2 — The rehearsal protocol</w:t>
      </w:r>
    </w:p>
    <w:p>
      <w:pPr>
        <w:pStyle w:val="FirstParagraph"/>
      </w:pPr>
      <w:r>
        <w:rPr>
          <w:b/>
          <w:bCs/>
        </w:rPr>
        <w:t xml:space="preserve">Learning objectives.</w:t>
      </w:r>
      <w:r>
        <w:t xml:space="preserve"> </w:t>
      </w:r>
      <w:r>
        <w:t xml:space="preserve">By the end of this session, students can: (1) run a full team run-through to a stopwatch; (2) build the Q&amp;A bank; (3) assign a primary and backup responder per question.</w:t>
      </w:r>
    </w:p>
    <w:p>
      <w:pPr>
        <w:pStyle w:val="BodyText"/>
      </w:pPr>
      <w:r>
        <w:rPr>
          <w:b/>
          <w:bCs/>
        </w:rPr>
        <w:t xml:space="preserve">Session plan (75 min).</w:t>
      </w:r>
      <w:r>
        <w:t xml:space="preserve"> </w:t>
      </w:r>
      <w:r>
        <w:t xml:space="preserve">- Open (5 min):</w:t>
      </w:r>
      <w:r>
        <w:t xml:space="preserve"> </w:t>
      </w:r>
      <w:r>
        <w:t xml:space="preserve">“</w:t>
      </w:r>
      <w:r>
        <w:t xml:space="preserve">What does a rehearsal actually rehearse — the words, or the timing and the recovery?</w:t>
      </w:r>
      <w:r>
        <w:t xml:space="preserve">”</w:t>
      </w:r>
      <w:r>
        <w:t xml:space="preserve"> </w:t>
      </w:r>
      <w:r>
        <w:t xml:space="preserve">- Teach (25 min): the rehearsal canon. The run-through: full length, timed, with an external observer playing the hostile evaluator. The stopwatch as a hard discipline: every section has a budget, and an overflow is a finding, not a note. The two-pass structure: the first pass finds the weaknesses, the second fixes them. The Q&amp;A bank: built from the evaluation factors, the risk register, the price position, the past-performance citations, and the key personnel, with a primary and a backup responder for each question.</w:t>
      </w:r>
      <w:r>
        <w:t xml:space="preserve"> </w:t>
      </w:r>
      <w:r>
        <w:t xml:space="preserve">- Apply (25 min): run a mini rehearsal of a case pursuit’s opening statement to a stopwatch; then build a ten-question Q&amp;A bank with primary and backup responders.</w:t>
      </w:r>
      <w:r>
        <w:t xml:space="preserve"> </w:t>
      </w:r>
      <w:r>
        <w:t xml:space="preserve">- Discuss (15 min):</w:t>
      </w:r>
      <w:r>
        <w:t xml:space="preserve"> </w:t>
      </w:r>
      <w:r>
        <w:t xml:space="preserve">“</w:t>
      </w:r>
      <w:r>
        <w:t xml:space="preserve">Why must the hostile observer be external — what does an insider miss?</w:t>
      </w:r>
      <w:r>
        <w:t xml:space="preserve">”</w:t>
      </w:r>
      <w:r>
        <w:t xml:space="preserve"> </w:t>
      </w:r>
      <w:r>
        <w:t xml:space="preserve">- Close (5 min): assignment.</w:t>
      </w:r>
    </w:p>
    <w:p>
      <w:pPr>
        <w:pStyle w:val="BodyText"/>
      </w:pPr>
      <w:r>
        <w:rPr>
          <w:b/>
          <w:bCs/>
        </w:rPr>
        <w:t xml:space="preserve">Discussion prompts.</w:t>
      </w:r>
      <w:r>
        <w:t xml:space="preserve"> </w:t>
      </w:r>
      <w:r>
        <w:t xml:space="preserve">1. What does the stopwatch catch that a friendly run-through will not? 2. How do you decide which questions make the bank?</w:t>
      </w:r>
    </w:p>
    <w:p>
      <w:pPr>
        <w:pStyle w:val="BodyText"/>
      </w:pPr>
      <w:r>
        <w:rPr>
          <w:b/>
          <w:bCs/>
        </w:rPr>
        <w:t xml:space="preserve">Homework / reading.</w:t>
      </w:r>
      <w:r>
        <w:t xml:space="preserve"> </w:t>
      </w:r>
      <w:r>
        <w:t xml:space="preserve">Read the rehearsal canon and doctrine/10. Deliverable: a ten-question Q&amp;A bank with primary and backup responders for a case pursuit.</w:t>
      </w:r>
    </w:p>
    <w:p>
      <w:pPr>
        <w:pStyle w:val="BodyText"/>
      </w:pPr>
      <w:r>
        <w:rPr>
          <w:b/>
          <w:bCs/>
        </w:rPr>
        <w:t xml:space="preserve">Comprehension check.</w:t>
      </w:r>
      <w:r>
        <w:t xml:space="preserve"> </w:t>
      </w:r>
      <w:r>
        <w:t xml:space="preserve">What is the two-pass rehearsal? Why a primary and a backup responder per question?</w:t>
      </w:r>
    </w:p>
    <w:p>
      <w:r>
        <w:pict>
          <v:rect style="width:0;height:1.5pt" o:hralign="center" o:hrstd="t" o:hr="t"/>
        </w:pict>
      </w:r>
    </w:p>
    <w:bookmarkEnd w:id="21"/>
    <w:bookmarkStart w:id="22" w:name="session-3-handling-hard-questions"/>
    <w:p>
      <w:pPr>
        <w:pStyle w:val="Heading2"/>
      </w:pPr>
      <w:r>
        <w:t xml:space="preserve">Session 3 — Handling hard questions</w:t>
      </w:r>
    </w:p>
    <w:p>
      <w:pPr>
        <w:pStyle w:val="FirstParagraph"/>
      </w:pPr>
      <w:r>
        <w:rPr>
          <w:b/>
          <w:bCs/>
        </w:rPr>
        <w:t xml:space="preserve">Learning objectives.</w:t>
      </w:r>
      <w:r>
        <w:t xml:space="preserve"> </w:t>
      </w:r>
      <w:r>
        <w:t xml:space="preserve">By the end of this session, students can: (1) apply the bridge–caveat–commit structure; (2) distinguish answering from defending; (3) handle a question whose answer you do not have.</w:t>
      </w:r>
    </w:p>
    <w:p>
      <w:pPr>
        <w:pStyle w:val="BodyText"/>
      </w:pPr>
      <w:r>
        <w:rPr>
          <w:b/>
          <w:bCs/>
        </w:rPr>
        <w:t xml:space="preserve">Session plan (75 min).</w:t>
      </w:r>
      <w:r>
        <w:t xml:space="preserve"> </w:t>
      </w:r>
      <w:r>
        <w:t xml:space="preserve">- Open (5 min):</w:t>
      </w:r>
      <w:r>
        <w:t xml:space="preserve"> </w:t>
      </w:r>
      <w:r>
        <w:t xml:space="preserve">“</w:t>
      </w:r>
      <w:r>
        <w:t xml:space="preserve">The panel asks about your pricing posture — in front of everyone. What do you say?</w:t>
      </w:r>
      <w:r>
        <w:t xml:space="preserve">”</w:t>
      </w:r>
      <w:r>
        <w:t xml:space="preserve"> </w:t>
      </w:r>
      <w:r>
        <w:t xml:space="preserve">- Teach (25 min): the hard-question canon. The structure: bridge (acknowledge the question and connect it to a strength), caveat (state the honest limit), commit (promise the specific follow-up). The rules: answer the question asked, never argue with the evaluator, never invent a fact, and treat</w:t>
      </w:r>
      <w:r>
        <w:t xml:space="preserve"> </w:t>
      </w:r>
      <w:r>
        <w:t xml:space="preserve">“</w:t>
      </w:r>
      <w:r>
        <w:t xml:space="preserve">I do not know, but I will get you the answer</w:t>
      </w:r>
      <w:r>
        <w:t xml:space="preserve">”</w:t>
      </w:r>
      <w:r>
        <w:t xml:space="preserve"> </w:t>
      </w:r>
      <w:r>
        <w:t xml:space="preserve">as legitimate only when the commit is real and followed.</w:t>
      </w:r>
      <w:r>
        <w:t xml:space="preserve"> </w:t>
      </w:r>
      <w:r>
        <w:t xml:space="preserve">- Apply (25 min): role-play hard questions from a panel — price, a past-performance gap, the incumbent advantage, a security concern — using bridge–caveat–commit. Half the class plays the panel; half answers; then swap.</w:t>
      </w:r>
      <w:r>
        <w:t xml:space="preserve"> </w:t>
      </w:r>
      <w:r>
        <w:t xml:space="preserve">- Discuss (15 min):</w:t>
      </w:r>
      <w:r>
        <w:t xml:space="preserve"> </w:t>
      </w:r>
      <w:r>
        <w:t xml:space="preserve">“</w:t>
      </w:r>
      <w:r>
        <w:t xml:space="preserve">When is a non-answer worse than a wrong answer?</w:t>
      </w:r>
      <w:r>
        <w:t xml:space="preserve">”</w:t>
      </w:r>
      <w:r>
        <w:t xml:space="preserve"> </w:t>
      </w:r>
      <w:r>
        <w:t xml:space="preserve">- Close (5 min): assignment.</w:t>
      </w:r>
    </w:p>
    <w:p>
      <w:pPr>
        <w:pStyle w:val="BodyText"/>
      </w:pPr>
      <w:r>
        <w:rPr>
          <w:b/>
          <w:bCs/>
        </w:rPr>
        <w:t xml:space="preserve">Discussion prompts.</w:t>
      </w:r>
      <w:r>
        <w:t xml:space="preserve"> </w:t>
      </w:r>
      <w:r>
        <w:t xml:space="preserve">1. What makes a non-answer detectable, and what does it cost the team? 2. How do you bridge without sounding like you are dodging?</w:t>
      </w:r>
    </w:p>
    <w:p>
      <w:pPr>
        <w:pStyle w:val="BodyText"/>
      </w:pPr>
      <w:r>
        <w:rPr>
          <w:b/>
          <w:bCs/>
        </w:rPr>
        <w:t xml:space="preserve">Homework / reading.</w:t>
      </w:r>
      <w:r>
        <w:t xml:space="preserve"> </w:t>
      </w:r>
      <w:r>
        <w:t xml:space="preserve">Read the hard-question canon. Deliverable: a bridge–caveat–commit response card for five hard questions on a case pursuit.</w:t>
      </w:r>
    </w:p>
    <w:p>
      <w:pPr>
        <w:pStyle w:val="BodyText"/>
      </w:pPr>
      <w:r>
        <w:rPr>
          <w:b/>
          <w:bCs/>
        </w:rPr>
        <w:t xml:space="preserve">Comprehension check.</w:t>
      </w:r>
      <w:r>
        <w:t xml:space="preserve"> </w:t>
      </w:r>
      <w:r>
        <w:t xml:space="preserve">What are the three parts of a hard-question response? When is</w:t>
      </w:r>
      <w:r>
        <w:t xml:space="preserve"> </w:t>
      </w:r>
      <w:r>
        <w:t xml:space="preserve">“</w:t>
      </w:r>
      <w:r>
        <w:t xml:space="preserve">I do not know</w:t>
      </w:r>
      <w:r>
        <w:t xml:space="preserve">”</w:t>
      </w:r>
      <w:r>
        <w:t xml:space="preserve"> </w:t>
      </w:r>
      <w:r>
        <w:t xml:space="preserve">a legitimate answer?</w:t>
      </w:r>
    </w:p>
    <w:p>
      <w:r>
        <w:pict>
          <v:rect style="width:0;height:1.5pt" o:hralign="center" o:hrstd="t" o:hr="t"/>
        </w:pict>
      </w:r>
    </w:p>
    <w:bookmarkEnd w:id="22"/>
    <w:bookmarkStart w:id="23" w:name="session-4-virtual-orals"/>
    <w:p>
      <w:pPr>
        <w:pStyle w:val="Heading2"/>
      </w:pPr>
      <w:r>
        <w:t xml:space="preserve">Session 4 — Virtual orals</w:t>
      </w:r>
    </w:p>
    <w:p>
      <w:pPr>
        <w:pStyle w:val="FirstParagraph"/>
      </w:pPr>
      <w:r>
        <w:rPr>
          <w:b/>
          <w:bCs/>
        </w:rPr>
        <w:t xml:space="preserve">Learning objectives.</w:t>
      </w:r>
      <w:r>
        <w:t xml:space="preserve"> </w:t>
      </w:r>
      <w:r>
        <w:t xml:space="preserve">By the end of this session, students can: (1) run an oral over video; (2) manage the camera, the sound, and the tech rehearsal; (3) coordinate a hybrid team without losing the one-voice discipline.</w:t>
      </w:r>
    </w:p>
    <w:p>
      <w:pPr>
        <w:pStyle w:val="BodyText"/>
      </w:pPr>
      <w:r>
        <w:rPr>
          <w:b/>
          <w:bCs/>
        </w:rPr>
        <w:t xml:space="preserve">Session plan (75 min).</w:t>
      </w:r>
      <w:r>
        <w:t xml:space="preserve"> </w:t>
      </w:r>
      <w:r>
        <w:t xml:space="preserve">- Open (5 min):</w:t>
      </w:r>
      <w:r>
        <w:t xml:space="preserve"> </w:t>
      </w:r>
      <w:r>
        <w:t xml:space="preserve">“</w:t>
      </w:r>
      <w:r>
        <w:t xml:space="preserve">The oral is on a screen. What changes, and what does not?</w:t>
      </w:r>
      <w:r>
        <w:t xml:space="preserve">”</w:t>
      </w:r>
      <w:r>
        <w:t xml:space="preserve"> </w:t>
      </w:r>
      <w:r>
        <w:t xml:space="preserve">- Teach (25 min): the virtual-orals canon. What carries over unchanged: content, roles, the Q&amp;A discipline, the stopwatch. What changes: the camera is the room (eye line, framing, lighting), sound is the reliability risk (microphone discipline, a backup connection), the deck is the visual (screen-share discipline), and latency makes the one-voice rule harder — a pause that reads as a finished thought is now a gap another voice can fall into. The tech rehearsal is a separate pass from the content rehearsal, and it runs first.</w:t>
      </w:r>
      <w:r>
        <w:t xml:space="preserve"> </w:t>
      </w:r>
      <w:r>
        <w:t xml:space="preserve">- Apply (25 min): design the tech protocol and hybrid seating plan for a virtual oral; run a three-minute mini-virtual opening and review the camera and audio against the protocol.</w:t>
      </w:r>
      <w:r>
        <w:t xml:space="preserve"> </w:t>
      </w:r>
      <w:r>
        <w:t xml:space="preserve">- Discuss (15 min):</w:t>
      </w:r>
      <w:r>
        <w:t xml:space="preserve"> </w:t>
      </w:r>
      <w:r>
        <w:t xml:space="preserve">“</w:t>
      </w:r>
      <w:r>
        <w:t xml:space="preserve">What is the first thing that fails in a virtual oral, and how does the protocol catch it before the panel does?</w:t>
      </w:r>
      <w:r>
        <w:t xml:space="preserve">”</w:t>
      </w:r>
      <w:r>
        <w:t xml:space="preserve"> </w:t>
      </w:r>
      <w:r>
        <w:t xml:space="preserve">- Close (5 min): assignment.</w:t>
      </w:r>
    </w:p>
    <w:p>
      <w:pPr>
        <w:pStyle w:val="BodyText"/>
      </w:pPr>
      <w:r>
        <w:rPr>
          <w:b/>
          <w:bCs/>
        </w:rPr>
        <w:t xml:space="preserve">Discussion prompts.</w:t>
      </w:r>
      <w:r>
        <w:t xml:space="preserve"> </w:t>
      </w:r>
      <w:r>
        <w:t xml:space="preserve">1. Why does latency change the one-voice rule? 2. What must a tech rehearsal check that a content rehearsal will not?</w:t>
      </w:r>
    </w:p>
    <w:p>
      <w:pPr>
        <w:pStyle w:val="BodyText"/>
      </w:pPr>
      <w:r>
        <w:rPr>
          <w:b/>
          <w:bCs/>
        </w:rPr>
        <w:t xml:space="preserve">Homework / reading.</w:t>
      </w:r>
      <w:r>
        <w:t xml:space="preserve"> </w:t>
      </w:r>
      <w:r>
        <w:t xml:space="preserve">Read the virtual-orals canon. Deliverable: a virtual-oral protocol — tech checklist, camera plan, hybrid seating chart, and the failover plan.</w:t>
      </w:r>
    </w:p>
    <w:p>
      <w:pPr>
        <w:pStyle w:val="BodyText"/>
      </w:pPr>
      <w:r>
        <w:rPr>
          <w:b/>
          <w:bCs/>
        </w:rPr>
        <w:t xml:space="preserve">Comprehension check.</w:t>
      </w:r>
      <w:r>
        <w:t xml:space="preserve"> </w:t>
      </w:r>
      <w:r>
        <w:t xml:space="preserve">What changes in a virtual oral, and what stays the same? Why is the tech rehearsal a separate pass?</w:t>
      </w:r>
    </w:p>
    <w:p>
      <w:r>
        <w:pict>
          <v:rect style="width:0;height:1.5pt" o:hralign="center" o:hrstd="t" o:hr="t"/>
        </w:pict>
      </w:r>
    </w:p>
    <w:bookmarkEnd w:id="23"/>
    <w:bookmarkStart w:id="24" w:name="Xcbe69df5a6ba5e9b162529a22bf3b41ffdc602a"/>
    <w:p>
      <w:pPr>
        <w:pStyle w:val="Heading2"/>
      </w:pPr>
      <w:r>
        <w:t xml:space="preserve">Session 5 — The color-team-style oral critique</w:t>
      </w:r>
    </w:p>
    <w:p>
      <w:pPr>
        <w:pStyle w:val="FirstParagraph"/>
      </w:pPr>
      <w:r>
        <w:rPr>
          <w:b/>
          <w:bCs/>
        </w:rPr>
        <w:t xml:space="preserve">Learning objectives.</w:t>
      </w:r>
      <w:r>
        <w:t xml:space="preserve"> </w:t>
      </w:r>
      <w:r>
        <w:t xml:space="preserve">By the end of this session, students can: (1) run a peer-panel critique of a live rehearsal; (2) grade a performance against the evaluation factors; (3) write specific, actionable findings.</w:t>
      </w:r>
    </w:p>
    <w:p>
      <w:pPr>
        <w:pStyle w:val="BodyText"/>
      </w:pPr>
      <w:r>
        <w:rPr>
          <w:b/>
          <w:bCs/>
        </w:rPr>
        <w:t xml:space="preserve">Session plan (75 min).</w:t>
      </w:r>
      <w:r>
        <w:t xml:space="preserve"> </w:t>
      </w:r>
      <w:r>
        <w:t xml:space="preserve">- Open (5 min):</w:t>
      </w:r>
      <w:r>
        <w:t xml:space="preserve"> </w:t>
      </w:r>
      <w:r>
        <w:t xml:space="preserve">“</w:t>
      </w:r>
      <w:r>
        <w:t xml:space="preserve">The color-team rules were written for documents. How do they transfer to a live performance?</w:t>
      </w:r>
      <w:r>
        <w:t xml:space="preserve">”</w:t>
      </w:r>
      <w:r>
        <w:t xml:space="preserve"> </w:t>
      </w:r>
      <w:r>
        <w:t xml:space="preserve">- Teach (25 min): the oral-critique canon + GE 640’s color-team discipline. The two non-negotiable rules transfer whole: reviewer independence (no one grades the section they present) and finding specificity (a finding names the factor, the moment, and the fix — it is never an opinion about the presenter). The critique is forward-only: its job is the next rehearsal, not a ranking of people.</w:t>
      </w:r>
      <w:r>
        <w:t xml:space="preserve"> </w:t>
      </w:r>
      <w:r>
        <w:t xml:space="preserve">- Apply (35 min): a live mini-oral. One team presents a five-minute opening under the Session-2 stopwatch; a peer panel grades against the evaluation factors and produces a findings register (critical / major / minor) with a fix for each finding.</w:t>
      </w:r>
      <w:r>
        <w:t xml:space="preserve"> </w:t>
      </w:r>
      <w:r>
        <w:t xml:space="preserve">- Discuss (10 min):</w:t>
      </w:r>
      <w:r>
        <w:t xml:space="preserve"> </w:t>
      </w:r>
      <w:r>
        <w:t xml:space="preserve">“</w:t>
      </w:r>
      <w:r>
        <w:t xml:space="preserve">What does a rehearsal critique reveal that a document review cannot?</w:t>
      </w:r>
      <w:r>
        <w:t xml:space="preserve">”</w:t>
      </w:r>
      <w:r>
        <w:t xml:space="preserve"> </w:t>
      </w:r>
      <w:r>
        <w:t xml:space="preserve">- Close (5 min): assignment.</w:t>
      </w:r>
    </w:p>
    <w:p>
      <w:pPr>
        <w:pStyle w:val="BodyText"/>
      </w:pPr>
      <w:r>
        <w:rPr>
          <w:b/>
          <w:bCs/>
        </w:rPr>
        <w:t xml:space="preserve">Discussion prompts.</w:t>
      </w:r>
      <w:r>
        <w:t xml:space="preserve"> </w:t>
      </w:r>
      <w:r>
        <w:t xml:space="preserve">1. Why must the critique panel be independent of the presenters? 2. What is the difference between a rehearsal finding and an opinion about the presenter?</w:t>
      </w:r>
    </w:p>
    <w:p>
      <w:pPr>
        <w:pStyle w:val="BodyText"/>
      </w:pPr>
      <w:r>
        <w:rPr>
          <w:b/>
          <w:bCs/>
        </w:rPr>
        <w:t xml:space="preserve">Homework / reading.</w:t>
      </w:r>
      <w:r>
        <w:t xml:space="preserve"> </w:t>
      </w:r>
      <w:r>
        <w:t xml:space="preserve">Read GE 640’s color-team canon and doctrine/10. Deliverable: the oral-critique findings register for the live rehearsal, with a fix per finding.</w:t>
      </w:r>
    </w:p>
    <w:p>
      <w:pPr>
        <w:pStyle w:val="BodyText"/>
      </w:pPr>
      <w:r>
        <w:rPr>
          <w:b/>
          <w:bCs/>
        </w:rPr>
        <w:t xml:space="preserve">Comprehension check.</w:t>
      </w:r>
      <w:r>
        <w:t xml:space="preserve"> </w:t>
      </w:r>
      <w:r>
        <w:t xml:space="preserve">How do the two non-negotiable color-team rules transfer to a live rehearsal? What makes a critique finding specific?</w:t>
      </w:r>
    </w:p>
    <w:p>
      <w:r>
        <w:pict>
          <v:rect style="width:0;height:1.5pt" o:hralign="center" o:hrstd="t" o:hr="t"/>
        </w:pict>
      </w:r>
    </w:p>
    <w:bookmarkEnd w:id="24"/>
    <w:bookmarkStart w:id="25" w:name="session-6-the-oral-day-playbook"/>
    <w:p>
      <w:pPr>
        <w:pStyle w:val="Heading2"/>
      </w:pPr>
      <w:r>
        <w:t xml:space="preserve">Session 6 — The oral-day playbook</w:t>
      </w:r>
    </w:p>
    <w:p>
      <w:pPr>
        <w:pStyle w:val="FirstParagraph"/>
      </w:pPr>
      <w:r>
        <w:rPr>
          <w:b/>
          <w:bCs/>
        </w:rPr>
        <w:t xml:space="preserve">Learning objectives.</w:t>
      </w:r>
      <w:r>
        <w:t xml:space="preserve"> </w:t>
      </w:r>
      <w:r>
        <w:t xml:space="preserve">By the end of this session, students can: (1) build the oral-day timeline from T-24 hours to the room; (2) run the pre-room rituals; (3) run the after-oral capture that feeds the retrospective.</w:t>
      </w:r>
    </w:p>
    <w:p>
      <w:pPr>
        <w:pStyle w:val="BodyText"/>
      </w:pPr>
      <w:r>
        <w:rPr>
          <w:b/>
          <w:bCs/>
        </w:rPr>
        <w:t xml:space="preserve">Session plan (75 min).</w:t>
      </w:r>
      <w:r>
        <w:t xml:space="preserve"> </w:t>
      </w:r>
      <w:r>
        <w:t xml:space="preserve">- Open (5 min):</w:t>
      </w:r>
      <w:r>
        <w:t xml:space="preserve"> </w:t>
      </w:r>
      <w:r>
        <w:t xml:space="preserve">“</w:t>
      </w:r>
      <w:r>
        <w:t xml:space="preserve">The morning of the oral. What is on your checklist at 6 a.m.?</w:t>
      </w:r>
      <w:r>
        <w:t xml:space="preserve">”</w:t>
      </w:r>
      <w:r>
        <w:t xml:space="preserve"> </w:t>
      </w:r>
      <w:r>
        <w:t xml:space="preserve">- Teach (25 min): doctrine/10 + the oral-day canon. The timeline: travel and arrival, the tech check, the team huddle (the story in one line), the room walk, the presentation, the Q&amp;A, the close, and the capture — every question, every commitment, every signal recorded before the room disperses. The pre-room rituals: the one-story huddle, the no-new-information rule (nothing new is introduced the night before), and the roles re-confirmation. After the room: every oral commitment is reconciled against the written proposal, because a commitment made in person that the proposal does not back is a hole in the story.</w:t>
      </w:r>
      <w:r>
        <w:t xml:space="preserve"> </w:t>
      </w:r>
      <w:r>
        <w:t xml:space="preserve">- Apply (25 min): build the full oral-day playbook for a case pursuit — timeline, pre-room checklist, and the post-oral capture template.</w:t>
      </w:r>
      <w:r>
        <w:t xml:space="preserve"> </w:t>
      </w:r>
      <w:r>
        <w:t xml:space="preserve">- Discuss (15 min):</w:t>
      </w:r>
      <w:r>
        <w:t xml:space="preserve"> </w:t>
      </w:r>
      <w:r>
        <w:t xml:space="preserve">“</w:t>
      </w:r>
      <w:r>
        <w:t xml:space="preserve">Which oral-day failure is most common, and how does the playbook prevent it?</w:t>
      </w:r>
      <w:r>
        <w:t xml:space="preserve">”</w:t>
      </w:r>
      <w:r>
        <w:t xml:space="preserve"> </w:t>
      </w:r>
      <w:r>
        <w:t xml:space="preserve">- Close (5 min): assignment and bridge to the practice challenge.</w:t>
      </w:r>
    </w:p>
    <w:p>
      <w:pPr>
        <w:pStyle w:val="BodyText"/>
      </w:pPr>
      <w:r>
        <w:rPr>
          <w:b/>
          <w:bCs/>
        </w:rPr>
        <w:t xml:space="preserve">Discussion prompts.</w:t>
      </w:r>
      <w:r>
        <w:t xml:space="preserve"> </w:t>
      </w:r>
      <w:r>
        <w:t xml:space="preserve">1. Why is the after-oral capture as important as the presentation? 2. What does the no-new-information rule protect?</w:t>
      </w:r>
    </w:p>
    <w:p>
      <w:pPr>
        <w:pStyle w:val="BodyText"/>
      </w:pPr>
      <w:r>
        <w:rPr>
          <w:b/>
          <w:bCs/>
        </w:rPr>
        <w:t xml:space="preserve">Homework / reading.</w:t>
      </w:r>
      <w:r>
        <w:t xml:space="preserve"> </w:t>
      </w:r>
      <w:r>
        <w:t xml:space="preserve">Read doctrine/10. Deliverable: the full oral-day playbook with timeline, pre-room checklist, and capture template.</w:t>
      </w:r>
    </w:p>
    <w:p>
      <w:pPr>
        <w:pStyle w:val="BodyText"/>
      </w:pPr>
      <w:r>
        <w:rPr>
          <w:b/>
          <w:bCs/>
        </w:rPr>
        <w:t xml:space="preserve">Comprehension check.</w:t>
      </w:r>
      <w:r>
        <w:t xml:space="preserve"> </w:t>
      </w:r>
      <w:r>
        <w:t xml:space="preserve">What are the three phases of oral day? What must be captured before the room disperses, and why does it feed the retrospective?</w:t>
      </w:r>
    </w:p>
    <w:p>
      <w:r>
        <w:pict>
          <v:rect style="width:0;height:1.5pt" o:hralign="center" o:hrstd="t" o:hr="t"/>
        </w:pict>
      </w:r>
    </w:p>
    <w:bookmarkEnd w:id="25"/>
    <w:bookmarkStart w:id="26" w:name="module-self-check"/>
    <w:p>
      <w:pPr>
        <w:pStyle w:val="Heading2"/>
      </w:pPr>
      <w:r>
        <w:t xml:space="preserve">Module self-check</w:t>
      </w:r>
    </w:p>
    <w:p>
      <w:pPr>
        <w:pStyle w:val="Compact"/>
        <w:numPr>
          <w:ilvl w:val="0"/>
          <w:numId w:val="1001"/>
        </w:numPr>
      </w:pPr>
      <w:r>
        <w:t xml:space="preserve">What does</w:t>
      </w:r>
      <w:r>
        <w:t xml:space="preserve"> </w:t>
      </w:r>
      <w:r>
        <w:t xml:space="preserve">“</w:t>
      </w:r>
      <w:r>
        <w:t xml:space="preserve">the oral is the proposal in person</w:t>
      </w:r>
      <w:r>
        <w:t xml:space="preserve">”</w:t>
      </w:r>
      <w:r>
        <w:t xml:space="preserve"> </w:t>
      </w:r>
      <w:r>
        <w:t xml:space="preserve">change about how a team prepares — versus how it might prepare a generic presentation?</w:t>
      </w:r>
    </w:p>
    <w:p>
      <w:pPr>
        <w:pStyle w:val="Compact"/>
        <w:numPr>
          <w:ilvl w:val="0"/>
          <w:numId w:val="1001"/>
        </w:numPr>
      </w:pPr>
      <w:r>
        <w:t xml:space="preserve">What are the two non-negotiable rules of a color-team-style oral critique, and how do they transfer from the document review to the live rehearsal?</w:t>
      </w:r>
    </w:p>
    <w:p>
      <w:pPr>
        <w:pStyle w:val="Compact"/>
        <w:numPr>
          <w:ilvl w:val="0"/>
          <w:numId w:val="1001"/>
        </w:numPr>
      </w:pPr>
      <w:r>
        <w:t xml:space="preserve">Why does the after-oral capture matter as much as the presentation itself — and where does its record feed?</w:t>
      </w:r>
    </w:p>
    <w:bookmarkEnd w:id="26"/>
    <w:bookmarkStart w:id="27" w:name="the-practice-challenge"/>
    <w:p>
      <w:pPr>
        <w:pStyle w:val="Heading2"/>
      </w:pPr>
      <w:r>
        <w:t xml:space="preserve">The practice challenge</w:t>
      </w:r>
    </w:p>
    <w:p>
      <w:pPr>
        <w:pStyle w:val="FirstParagraph"/>
      </w:pPr>
      <w:r>
        <w:t xml:space="preserve">This elective’s live edge is the practice layer’s</w:t>
      </w:r>
      <w:r>
        <w:t xml:space="preserve"> </w:t>
      </w:r>
      <w:r>
        <w:rPr>
          <w:b/>
          <w:bCs/>
        </w:rPr>
        <w:t xml:space="preserve">oral-rehearsal challenge — CH-25</w:t>
      </w:r>
      <w:r>
        <w:t xml:space="preserve"> </w:t>
      </w:r>
      <w:r>
        <w:t xml:space="preserve">in</w:t>
      </w:r>
      <w:r>
        <w:t xml:space="preserve"> </w:t>
      </w:r>
      <w:r>
        <w:rPr>
          <w:rStyle w:val="VerbatimChar"/>
        </w:rPr>
        <w:t xml:space="preserve">practice/challenges/</w:t>
      </w:r>
      <w:r>
        <w:t xml:space="preserve">, built by the practice-layer agent to pair with this module. It is the cohort drill that turns these six sessions into a dress rehearsal: a team takes a real (closed) solicitation with an oral component, runs the architecture and rehearsal protocol from Sessions 1–2, and is graded by a peer panel using the critique from Session 5. Run it after Session 6 — the playbook from Session 6 is exactly what the drill is designed to test.</w:t>
      </w:r>
    </w:p>
    <w:bookmarkEnd w:id="27"/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3" Type="http://schemas.openxmlformats.org/officeDocument/2006/relationships/settings" Target="settings.xml"/><Relationship Id="rId7" Type="http://schemas.openxmlformats.org/officeDocument/2006/relationships/footnotes" Target="foot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11" Type="http://schemas.openxmlformats.org/officeDocument/2006/relationships/customXml" Target="../customXml/item3.xml"/><Relationship Id="rId5" Type="http://schemas.openxmlformats.org/officeDocument/2006/relationships/fontTable" Target="fontTable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8F89D4DBC9164EAAD077F6A65CDF0A" ma:contentTypeVersion="27" ma:contentTypeDescription="Create a new document." ma:contentTypeScope="" ma:versionID="7fef060ed95bf7b4c871fb5590ffba56">
  <xsd:schema xmlns:xsd="http://www.w3.org/2001/XMLSchema" xmlns:xs="http://www.w3.org/2001/XMLSchema" xmlns:p="http://schemas.microsoft.com/office/2006/metadata/properties" xmlns:ns2="8776939f-5711-4b7e-8619-ef1d6035b8e5" xmlns:ns3="94a181e0-1203-41b9-8ae0-2dcd1a719fc0" targetNamespace="http://schemas.microsoft.com/office/2006/metadata/properties" ma:root="true" ma:fieldsID="1ac12e87290b2432eb1ed38730e28d76" ns2:_="" ns3:_="">
    <xsd:import namespace="8776939f-5711-4b7e-8619-ef1d6035b8e5"/>
    <xsd:import namespace="94a181e0-1203-41b9-8ae0-2dcd1a719f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ynoy" minOccurs="0"/>
                <xsd:element ref="ns2:bb08d3d8-654e-405a-bd2f-eb04bd0c1711CountryOrRegion" minOccurs="0"/>
                <xsd:element ref="ns2:bb08d3d8-654e-405a-bd2f-eb04bd0c1711State" minOccurs="0"/>
                <xsd:element ref="ns2:bb08d3d8-654e-405a-bd2f-eb04bd0c1711City" minOccurs="0"/>
                <xsd:element ref="ns2:bb08d3d8-654e-405a-bd2f-eb04bd0c1711PostalCode" minOccurs="0"/>
                <xsd:element ref="ns2:bb08d3d8-654e-405a-bd2f-eb04bd0c1711Street" minOccurs="0"/>
                <xsd:element ref="ns2:bb08d3d8-654e-405a-bd2f-eb04bd0c1711GeoLoc" minOccurs="0"/>
                <xsd:element ref="ns2:bb08d3d8-654e-405a-bd2f-eb04bd0c1711DispNam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Budge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76939f-5711-4b7e-8619-ef1d6035b8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ynoy" ma:index="19" nillable="true" ma:displayName="Location" ma:internalName="ynoy">
      <xsd:simpleType>
        <xsd:restriction base="dms:Unknown"/>
      </xsd:simpleType>
    </xsd:element>
    <xsd:element name="bb08d3d8-654e-405a-bd2f-eb04bd0c1711CountryOrRegion" ma:index="20" nillable="true" ma:displayName="Location: Country/Region" ma:internalName="CountryOrRegion" ma:readOnly="true">
      <xsd:simpleType>
        <xsd:restriction base="dms:Text"/>
      </xsd:simpleType>
    </xsd:element>
    <xsd:element name="bb08d3d8-654e-405a-bd2f-eb04bd0c1711State" ma:index="21" nillable="true" ma:displayName="Location: State" ma:internalName="State" ma:readOnly="true">
      <xsd:simpleType>
        <xsd:restriction base="dms:Text"/>
      </xsd:simpleType>
    </xsd:element>
    <xsd:element name="bb08d3d8-654e-405a-bd2f-eb04bd0c1711City" ma:index="22" nillable="true" ma:displayName="Location: City" ma:internalName="City" ma:readOnly="true">
      <xsd:simpleType>
        <xsd:restriction base="dms:Text"/>
      </xsd:simpleType>
    </xsd:element>
    <xsd:element name="bb08d3d8-654e-405a-bd2f-eb04bd0c1711PostalCode" ma:index="23" nillable="true" ma:displayName="Location: Postal Code" ma:internalName="PostalCode" ma:readOnly="true">
      <xsd:simpleType>
        <xsd:restriction base="dms:Text"/>
      </xsd:simpleType>
    </xsd:element>
    <xsd:element name="bb08d3d8-654e-405a-bd2f-eb04bd0c1711Street" ma:index="24" nillable="true" ma:displayName="Location: Street" ma:internalName="Street" ma:readOnly="true">
      <xsd:simpleType>
        <xsd:restriction base="dms:Text"/>
      </xsd:simpleType>
    </xsd:element>
    <xsd:element name="bb08d3d8-654e-405a-bd2f-eb04bd0c1711GeoLoc" ma:index="25" nillable="true" ma:displayName="Location: Coordinates" ma:internalName="GeoLoc" ma:readOnly="true">
      <xsd:simpleType>
        <xsd:restriction base="dms:Unknown"/>
      </xsd:simpleType>
    </xsd:element>
    <xsd:element name="bb08d3d8-654e-405a-bd2f-eb04bd0c1711DispName" ma:index="26" nillable="true" ma:displayName="Location: Name" ma:internalName="DispName" ma:readOnly="true">
      <xsd:simpleType>
        <xsd:restriction base="dms:Text"/>
      </xsd:simpleType>
    </xsd:element>
    <xsd:element name="MediaLengthInSeconds" ma:index="2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9" nillable="true" ma:taxonomy="true" ma:internalName="lcf76f155ced4ddcb4097134ff3c332f" ma:taxonomyFieldName="MediaServiceImageTags" ma:displayName="Image Tags" ma:readOnly="false" ma:fieldId="{5cf76f15-5ced-4ddc-b409-7134ff3c332f}" ma:taxonomyMulti="true" ma:sspId="52472cf3-6fa7-482d-9f4f-6fbad59795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3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3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Budget" ma:index="33" nillable="true" ma:displayName="Budget" ma:format="Dropdown" ma:internalName="Budget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a181e0-1203-41b9-8ae0-2dcd1a719fc0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0" nillable="true" ma:displayName="Taxonomy Catch All Column" ma:hidden="true" ma:list="{6bd40d36-168b-49d0-9c35-89ec5f868836}" ma:internalName="TaxCatchAll" ma:showField="CatchAllData" ma:web="94a181e0-1203-41b9-8ae0-2dcd1a719f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noy xmlns="8776939f-5711-4b7e-8619-ef1d6035b8e5" xsi:nil="true"/>
    <Budget xmlns="8776939f-5711-4b7e-8619-ef1d6035b8e5" xsi:nil="true"/>
    <lcf76f155ced4ddcb4097134ff3c332f xmlns="8776939f-5711-4b7e-8619-ef1d6035b8e5">
      <Terms xmlns="http://schemas.microsoft.com/office/infopath/2007/PartnerControls"/>
    </lcf76f155ced4ddcb4097134ff3c332f>
    <TaxCatchAll xmlns="94a181e0-1203-41b9-8ae0-2dcd1a719fc0" xsi:nil="true"/>
  </documentManagement>
</p:properties>
</file>

<file path=customXml/itemProps1.xml><?xml version="1.0" encoding="utf-8"?>
<ds:datastoreItem xmlns:ds="http://schemas.openxmlformats.org/officeDocument/2006/customXml" ds:itemID="{92BD7A19-D42B-4883-B6EB-7CCBDEC543E6}"/>
</file>

<file path=customXml/itemProps2.xml><?xml version="1.0" encoding="utf-8"?>
<ds:datastoreItem xmlns:ds="http://schemas.openxmlformats.org/officeDocument/2006/customXml" ds:itemID="{CEEE3400-F363-46C4-A92B-34E3019C177E}"/>
</file>

<file path=customXml/itemProps3.xml><?xml version="1.0" encoding="utf-8"?>
<ds:datastoreItem xmlns:ds="http://schemas.openxmlformats.org/officeDocument/2006/customXml" ds:itemID="{B0A63D94-94F2-4D85-805E-99B616D82839}"/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2026-08-05T17:25:05Z</dcterms:created>
  <dcterms:modified xsi:type="dcterms:W3CDTF">2026-08-05T17:25:05Z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0x010100D88F89D4DBC9164EAAD077F6A65CDF0A</vt:lpwstr>
  </property>
</Properties>
</file>