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a5c2330623a6fe1462f39f35e15c233d931f74e"/>
    <w:p>
      <w:pPr>
        <w:pStyle w:val="Heading1"/>
      </w:pPr>
      <w:r>
        <w:t xml:space="preserve">Graduate Module — Competitive Strategy &amp; Game Theory for Capture (GC 510)</w:t>
      </w:r>
    </w:p>
    <w:p>
      <w:pPr>
        <w:pStyle w:val="FirstParagraph"/>
      </w:pPr>
      <w:r>
        <w:rPr>
          <w:i/>
          <w:iCs/>
        </w:rPr>
        <w:t xml:space="preserve">The session-by-session teaching plan for GC 510.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Game theory is taught from zero but at graduate pace; the strategy canon is always at concept altitude (doctrine/08).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501 or concurrent.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real, published-and-closed competitive situations.</w:t>
      </w:r>
    </w:p>
    <w:p>
      <w:r>
        <w:pict>
          <v:rect style="width:0;height:1.5pt" o:hralign="center" o:hrstd="t" o:hr="t"/>
        </w:pict>
      </w:r>
    </w:p>
    <w:bookmarkStart w:id="20" w:name="X75c1acac1df4fd7e151901ae7375ee0d2b48daa"/>
    <w:p>
      <w:pPr>
        <w:pStyle w:val="Heading2"/>
      </w:pPr>
      <w:r>
        <w:t xml:space="preserve">Session 1 — Strategy is a position, not a wish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define a win strategy as a set of claims; (2) distinguish a discriminator from a baseline feature; (3) draft a position statement for a pursuit.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have one paragraph to tell a customer why you win. Write it.</w:t>
      </w:r>
      <w:r>
        <w:t xml:space="preserve">”</w:t>
      </w:r>
      <w:r>
        <w:t xml:space="preserve"> </w:t>
      </w:r>
      <w:r>
        <w:t xml:space="preserve">- Teach (25 min): doctrine/03 + doctrine/05 + the capture doctrine at concept altitude. Win strategy, discriminators, baselines.</w:t>
      </w:r>
      <w:r>
        <w:t xml:space="preserve"> </w:t>
      </w:r>
      <w:r>
        <w:t xml:space="preserve">- Apply (25 min): write the position statement for a case pursuit; the room attacks the baselines dressed as discriminators.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makes a claim a discriminator — and what makes it perishable?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Defend a discriminator you think a competitor could credibly copy. 2. When is a baseline the safer claim?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doctrine/05. Deliverable: a one-page position statement for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discriminator? What separates a position from a wish?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game-theory-foundations"/>
    <w:p>
      <w:pPr>
        <w:pStyle w:val="Heading2"/>
      </w:pPr>
      <w:r>
        <w:t xml:space="preserve">Session 2 — Game theory foundations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model a situation as a normal-form game; (2) find dominated strategies; (3) explain Nash equilibrium.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Two bidders, one price. What do you bid?</w:t>
      </w:r>
      <w:r>
        <w:t xml:space="preserve">”</w:t>
      </w:r>
      <w:r>
        <w:t xml:space="preserve"> </w:t>
      </w:r>
      <w:r>
        <w:t xml:space="preserve">- Teach (25 min): the course reader on game theory. Players, strategies, payoffs; dominance; Nash equilibrium.</w:t>
      </w:r>
      <w:r>
        <w:t xml:space="preserve"> </w:t>
      </w:r>
      <w:r>
        <w:t xml:space="preserve">- Apply (25 min): model a two-bidder price competition as a normal-form game; find the equilibrium.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 we predict equilibrium — and when does real behavior diverge from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In the pricing game, what is the dominant strategy, and why is it rarely played in practice? 2. What does equilibrium leave out of a real competitive situation?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 and doctrine/03. Deliverable: a worked normal-form game for a two-bidder competition.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Nash equilibrium? What is a dominated strategy?</w:t>
      </w:r>
    </w:p>
    <w:p>
      <w:r>
        <w:pict>
          <v:rect style="width:0;height:1.5pt" o:hralign="center" o:hrstd="t" o:hr="t"/>
        </w:pict>
      </w:r>
    </w:p>
    <w:bookmarkEnd w:id="21"/>
    <w:bookmarkStart w:id="22" w:name="X2ab1e5e9c1b6f60368c4fec5d577e15d347b9cf"/>
    <w:p>
      <w:pPr>
        <w:pStyle w:val="Heading2"/>
      </w:pPr>
      <w:r>
        <w:t xml:space="preserve">Session 3 — Sequential games: commitment and credibility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solve a sequential game by backward induction; (2) distinguish commitment from cheap talk; (3) identify a real commitment move.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 promise I will not underbid. Do you believe me?</w:t>
      </w:r>
      <w:r>
        <w:t xml:space="preserve">”</w:t>
      </w:r>
      <w:r>
        <w:t xml:space="preserve"> </w:t>
      </w:r>
      <w:r>
        <w:t xml:space="preserve">- Teach (25 min): the course reader on sequential games. Extensive form, backward induction, first-mover advantage, credibility.</w:t>
      </w:r>
      <w:r>
        <w:t xml:space="preserve"> </w:t>
      </w:r>
      <w:r>
        <w:t xml:space="preserve">- Apply (25 min): analyze a real capture commitment (a key-person hire, a partnership announcement, an investment) for credibility.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makes a move credible — and what is cheap talk?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an expensive commitment a signal, and when is it waste? 2. How does a firm make its strategy credible to a customer before the RFP?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short paper on a real commitment move and its credibility.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backward induction? What separates a commitment from cheap talk?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competition-among-the-few"/>
    <w:p>
      <w:pPr>
        <w:pStyle w:val="Heading2"/>
      </w:pPr>
      <w:r>
        <w:t xml:space="preserve">Session 4 — Competition among the few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reason about a small field of bidders; (2) predict competitive response; (3) identify the danger of overfitting to a rival.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know your rival’s last ten bids. What do you do?</w:t>
      </w:r>
      <w:r>
        <w:t xml:space="preserve">”</w:t>
      </w:r>
      <w:r>
        <w:t xml:space="preserve"> </w:t>
      </w:r>
      <w:r>
        <w:t xml:space="preserve">- Teach (25 min): the course reader on oligopoly + doctrine/05. Reaction functions, competitive response, the stability of small-field competition.</w:t>
      </w:r>
      <w:r>
        <w:t xml:space="preserve"> </w:t>
      </w:r>
      <w:r>
        <w:t xml:space="preserve">- Apply (25 min): for a real segment, name the competitors and predict each one’s reaction to an aggressive price play.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does knowing your rival make you worse off?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risk of a price war in a small field, and what prevents it? 2. How should you weight a rival’s history against their rational response?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memo predicting competitive response in a real segment.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does a small field change pricing behavior? What is overfitting to a rival?</w:t>
      </w:r>
    </w:p>
    <w:p>
      <w:r>
        <w:pict>
          <v:rect style="width:0;height:1.5pt" o:hralign="center" o:hrstd="t" o:hr="t"/>
        </w:pict>
      </w:r>
    </w:p>
    <w:bookmarkEnd w:id="23"/>
    <w:bookmarkStart w:id="24" w:name="Xb580180efeaf9ea56a901faa8be144b9c32a8a1"/>
    <w:p>
      <w:pPr>
        <w:pStyle w:val="Heading2"/>
      </w:pPr>
      <w:r>
        <w:t xml:space="preserve">Session 5 — Incumbency as a strategic asset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economic sources of incumbency advantage; (2) profile an incumbent; (3) rate incumbency pressure from the facts.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do incumbents keep winning — even when they are not better?</w:t>
      </w:r>
      <w:r>
        <w:t xml:space="preserve">”</w:t>
      </w:r>
      <w:r>
        <w:t xml:space="preserve"> </w:t>
      </w:r>
      <w:r>
        <w:t xml:space="preserve">- Teach (25 min): doctrine/07 + the incumbency canon at concept altitude. Relationships, knowledge, switching cost, past performance; pressure bands from low to entrenched.</w:t>
      </w:r>
      <w:r>
        <w:t xml:space="preserve"> </w:t>
      </w:r>
      <w:r>
        <w:t xml:space="preserve">- Apply (25 min): profile the holder of a real (closed) contract; rate its pressure band.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source of incumbency advantage is most defensible — and which is most attackable?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an incumbent weak despite a long tenure? 2. What does the recompete-churn signal tell you about displacement difficulty?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doctrine/07. Deliverable: an incumbent profile for a real holder with a pressure-band rating.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sources of incumbency advantage? What is an incumbency-pressure band?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displacement-plays"/>
    <w:p>
      <w:pPr>
        <w:pStyle w:val="Heading2"/>
      </w:pPr>
      <w:r>
        <w:t xml:space="preserve">Session 6 — Displacement plays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canonical displacement plays; (2) choose a play from the facts; (3) state the evidence that would change the choice.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incumbent has held this contract for nine years. What is your play?</w:t>
      </w:r>
      <w:r>
        <w:t xml:space="preserve">”</w:t>
      </w:r>
      <w:r>
        <w:t xml:space="preserve"> </w:t>
      </w:r>
      <w:r>
        <w:t xml:space="preserve">- Teach (25 min): the displacement canon at concept altitude + doctrine/04. Take the recompete, ghost the entrenched, team around the holder, pivot to white space, walk.</w:t>
      </w:r>
      <w:r>
        <w:t xml:space="preserve"> </w:t>
      </w:r>
      <w:r>
        <w:t xml:space="preserve">- Apply (25 min): for a real recompete situation, choose the play and defend it against the facts.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walking the winning move?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facts drive the choice between ghosting and teaming-around? 2. When is a recompete</w:t>
      </w:r>
      <w:r>
        <w:t xml:space="preserve"> </w:t>
      </w:r>
      <w:r>
        <w:t xml:space="preserve">“</w:t>
      </w:r>
      <w:r>
        <w:t xml:space="preserve">takeable</w:t>
      </w:r>
      <w:r>
        <w:t xml:space="preserve">”</w:t>
      </w:r>
      <w:r>
        <w:t xml:space="preserve"> </w:t>
      </w:r>
      <w:r>
        <w:t xml:space="preserve">on price alone?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displacement canon and doctrine/04. Deliverable: a displacement decision memo with the facts and the evidence that would change the call.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five canonical displacement plays? What is the band-routing logic?</w:t>
      </w:r>
    </w:p>
    <w:p>
      <w:r>
        <w:pict>
          <v:rect style="width:0;height:1.5pt" o:hralign="center" o:hrstd="t" o:hr="t"/>
        </w:pict>
      </w:r>
    </w:p>
    <w:bookmarkEnd w:id="25"/>
    <w:bookmarkStart w:id="26" w:name="session-7-ghosting-and-positioning"/>
    <w:p>
      <w:pPr>
        <w:pStyle w:val="Heading2"/>
      </w:pPr>
      <w:r>
        <w:t xml:space="preserve">Session 7 — Ghosting and positioning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define a ghost theme; (2) distinguish ghosting from disparagement; (3) draft a ghost-theme set with a public-record basis.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do you attack an incumbent without attacking them?</w:t>
      </w:r>
      <w:r>
        <w:t xml:space="preserve">”</w:t>
      </w:r>
      <w:r>
        <w:t xml:space="preserve"> </w:t>
      </w:r>
      <w:r>
        <w:t xml:space="preserve">- Teach (25 min): doctrine/02 + doctrine/05 + the ghosting discipline at concept altitude. Ghost themes as evaluation-relevant discriminators; the citation requirement.</w:t>
      </w:r>
      <w:r>
        <w:t xml:space="preserve"> </w:t>
      </w:r>
      <w:r>
        <w:t xml:space="preserve">- Apply (25 min): draft three ghost themes for a case pursuit, each tied to a customer requirement and a public-record basis.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is the line between a ghost theme and a cheap shot?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 ghost theme credible to an evaluator? 2. Why must a ghost theme cite the customer’s own requirement rather than the incumbent’s failure?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 and doctrine/05. Deliverable: a ghost-theme set for a case pursuit with citations.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ghost theme? Why is ghosting framed against the customer’s requirement, not the incumbent?</w:t>
      </w:r>
    </w:p>
    <w:p>
      <w:r>
        <w:pict>
          <v:rect style="width:0;height:1.5pt" o:hralign="center" o:hrstd="t" o:hr="t"/>
        </w:pict>
      </w:r>
    </w:p>
    <w:bookmarkEnd w:id="26"/>
    <w:bookmarkStart w:id="27" w:name="X82556876d493996c42cdade91596ed63fd407f6"/>
    <w:p>
      <w:pPr>
        <w:pStyle w:val="Heading2"/>
      </w:pPr>
      <w:r>
        <w:t xml:space="preserve">Session 8 — Coalition games: teaming as strategy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teaming as coalition formation; (2) choose a teaming posture from the facts; (3) defend a partner selection.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When is your competitor your teammate?</w:t>
      </w:r>
      <w:r>
        <w:t xml:space="preserve">”</w:t>
      </w:r>
      <w:r>
        <w:t xml:space="preserve"> </w:t>
      </w:r>
      <w:r>
        <w:t xml:space="preserve">- Teach (25 min): the teaming canon at concept altitude + doctrine/07. Postures (prime solo, prime with subs, sub, JV, mentor-protege), gap analysis, partner rubric.</w:t>
      </w:r>
      <w:r>
        <w:t xml:space="preserve"> </w:t>
      </w:r>
      <w:r>
        <w:t xml:space="preserve">- Apply (25 min): run the gap analysis for a case pursuit and recommend a posture with a partner defense.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coalition cost the coalition’s members?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does teaming destroy more value than it creates? 2. Which partner-rubric dimension is a knockout for you — and why?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teaming canon and doctrine/07. Deliverable: a teaming memo with gap analysis and partner defense.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teaming postures? What drives the posture decision?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analysis of a real competitive situation end-to-end; (2) strategic reasoning, not recitation; (3) ethical boundary discipline.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real, published competitive situation is distributed. Students model the game, name the players, choose a position, and pick a play.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price-as-a-signal"/>
    <w:p>
      <w:pPr>
        <w:pStyle w:val="Heading2"/>
      </w:pPr>
      <w:r>
        <w:t xml:space="preserve">Session 10 — Price as a signal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pricing postures; (2) explain what each signals; (3) recommend a posture for a pursuit.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Your price is a message. Who reads it?</w:t>
      </w:r>
      <w:r>
        <w:t xml:space="preserve">”</w:t>
      </w:r>
      <w:r>
        <w:t xml:space="preserve"> </w:t>
      </w:r>
      <w:r>
        <w:t xml:space="preserve">- Teach (25 min): doctrine/05 + the pricing-strategy canon at concept altitude. Premium, parity, aggressive, price-disciplined; the signals each sends to the customer and to rivals.</w:t>
      </w:r>
      <w:r>
        <w:t xml:space="preserve"> </w:t>
      </w:r>
      <w:r>
        <w:t xml:space="preserve">- Apply (25 min): recommend a pricing posture for a case pursuit and predict the competitor reaction.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does a premium price signal strength, and when does it signal overconfidence?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an aggressive price signal about your firm’s cost position? 2. When is parity the strongest signal?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pricing-posture memo for a case pursuit with the predicted reaction.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pricing postures? What does each signal?</w:t>
      </w:r>
    </w:p>
    <w:p>
      <w:r>
        <w:pict>
          <v:rect style="width:0;height:1.5pt" o:hralign="center" o:hrstd="t" o:hr="t"/>
        </w:pict>
      </w:r>
    </w:p>
    <w:bookmarkEnd w:id="29"/>
    <w:bookmarkStart w:id="30" w:name="session-11-pre-rfp-shaping"/>
    <w:p>
      <w:pPr>
        <w:pStyle w:val="Heading2"/>
      </w:pPr>
      <w:r>
        <w:t xml:space="preserve">Session 11 — Pre-RFP shaping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pre-RFP shaping as a legitimate strategic move; (2) design an engagement campaign; (3) state the boundary of legitimate shaping.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RFP is a year away. What do you do this year?</w:t>
      </w:r>
      <w:r>
        <w:t xml:space="preserve">”</w:t>
      </w:r>
      <w:r>
        <w:t xml:space="preserve"> </w:t>
      </w:r>
      <w:r>
        <w:t xml:space="preserve">- Teach (25 min): doctrine/02 + the capture doctrine at concept altitude. Sources sought, RFIs, industry days, capability briefings; shaping the requirement; the boundary.</w:t>
      </w:r>
      <w:r>
        <w:t xml:space="preserve"> </w:t>
      </w:r>
      <w:r>
        <w:t xml:space="preserve">- Apply (25 min): design a pre-RFP shaping campaign for a forecast opportunity; state the boundary explicitly.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does shaping become steering — and who draws the line?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informing the requirement and biasing it? 2. How does a small firm shape without a big BD bench?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doctrine/02. Deliverable: an engagement plan for a forecast opportunity with the boundary stated.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pre-RFP shaping? Where is the ethical line?</w:t>
      </w:r>
    </w:p>
    <w:p>
      <w:r>
        <w:pict>
          <v:rect style="width:0;height:1.5pt" o:hralign="center" o:hrstd="t" o:hr="t"/>
        </w:pict>
      </w:r>
    </w:p>
    <w:bookmarkEnd w:id="30"/>
    <w:bookmarkStart w:id="31" w:name="X8edcc6dd00e5dd41a6113ecb2666d48586a374a"/>
    <w:p>
      <w:pPr>
        <w:pStyle w:val="Heading2"/>
      </w:pPr>
      <w:r>
        <w:t xml:space="preserve">Session 12 — Repeated games: reputation and the long 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federal market as a repeated game; (2) model reputation as a strategic asset; (3) connect past performance to future strategy.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does a firm with a bad delivery record lose even when it bids lower?</w:t>
      </w:r>
      <w:r>
        <w:t xml:space="preserve">”</w:t>
      </w:r>
      <w:r>
        <w:t xml:space="preserve"> </w:t>
      </w:r>
      <w:r>
        <w:t xml:space="preserve">- Teach (25 min): the course reader on repeated games + doctrine/07. Repetition, reputation, the folk theorem, the value of a credible record.</w:t>
      </w:r>
      <w:r>
        <w:t xml:space="preserve"> </w:t>
      </w:r>
      <w:r>
        <w:t xml:space="preserve">- Apply (25 min): model how a firm’s delivery record changes the optimal strategy of its next pursuit.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breaks cooperation in a repeated game — and what repairs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the prospect of future work discipline a firm’s behavior on today’s contract? 2. What is a firm’s reputation worth, and how is it priced?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doctrine/07. Deliverable: a reflection paper on the repeated-game structure and the small firm.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Why is the federal market a repeated game? How does reputation compound?</w:t>
      </w:r>
    </w:p>
    <w:p>
      <w:r>
        <w:pict>
          <v:rect style="width:0;height:1.5pt" o:hralign="center" o:hrstd="t" o:hr="t"/>
        </w:pict>
      </w:r>
    </w:p>
    <w:bookmarkEnd w:id="31"/>
    <w:bookmarkStart w:id="32" w:name="X1b599dbb696244df772541c2e34ab950b914b11"/>
    <w:p>
      <w:pPr>
        <w:pStyle w:val="Heading2"/>
      </w:pPr>
      <w:r>
        <w:t xml:space="preserve">Session 13 — Portfolio strategy as game theory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treat bid/no-bid as a portfolio decision; (2) apply threshold discipline strategically; (3) defend a portfolio allocation.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Which of your ten opportunities would you drop to win the one that matters?</w:t>
      </w:r>
      <w:r>
        <w:t xml:space="preserve">”</w:t>
      </w:r>
      <w:r>
        <w:t xml:space="preserve"> </w:t>
      </w:r>
      <w:r>
        <w:t xml:space="preserve">- Teach (25 min): doctrine/03 + doctrine/05 + the bid/no-bid canon at concept altitude. Capacity, thresholds, the strategic value of no.</w:t>
      </w:r>
      <w:r>
        <w:t xml:space="preserve"> </w:t>
      </w:r>
      <w:r>
        <w:t xml:space="preserve">- Apply (25 min): the portfolio game — allocate a fixed capture budget across a scored opportunity set with a competitive dimension.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a no-bid the strongest strategic move in your portfolio?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one pursuit’s competitive difficulty change the value of the others? 2. What is the strategic value of an honest no?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doctrine/05. Deliverable: a portfolio allocation memo with strategic reasoning.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Why is bid/no-bid a portfolio game? What is the strategic value of saying no?</w:t>
      </w:r>
    </w:p>
    <w:p>
      <w:r>
        <w:pict>
          <v:rect style="width:0;height:1.5pt" o:hralign="center" o:hrstd="t" o:hr="t"/>
        </w:pict>
      </w:r>
    </w:p>
    <w:bookmarkEnd w:id="32"/>
    <w:bookmarkStart w:id="33" w:name="X4e8cda45ecdcb29e3640163f60c59f40829aa3e"/>
    <w:p>
      <w:pPr>
        <w:pStyle w:val="Heading2"/>
      </w:pPr>
      <w:r>
        <w:t xml:space="preserve">Session 14 — Synthesis: the strategist’s desk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the course into one strategic frame; (2) defend a complete strategy; (3) connect strategy to the rest of the degree.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strategist reads games, builds positions, forms coalitions, sets prices, and governs the portfolio. Defend or attack.</w:t>
      </w:r>
      <w:r>
        <w:t xml:space="preserve">”</w:t>
      </w:r>
      <w:r>
        <w:t xml:space="preserve"> </w:t>
      </w:r>
      <w:r>
        <w:t xml:space="preserve">- Teach (15 min): course synthesis.</w:t>
      </w:r>
      <w:r>
        <w:t xml:space="preserve"> </w:t>
      </w:r>
      <w:r>
        <w:t xml:space="preserve">- Apply (35 min): panel defense of the final strategy papers; the panel plays the customer and the incumbent.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does game theory meet its limit in this discipline — and what fills the gap?</w:t>
      </w:r>
      <w:r>
        <w:t xml:space="preserve">”</w:t>
      </w:r>
      <w:r>
        <w:t xml:space="preserve"> </w:t>
      </w:r>
      <w:r>
        <w:t xml:space="preserve">- Close (5 min): bridge to GE electives and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strategic tool will you actually use in your own work? 2. What would you tell a junior capture professional about the strategic mindset?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strategy paper,</w:t>
      </w:r>
      <w:r>
        <w:t xml:space="preserve"> </w:t>
      </w:r>
      <w:r>
        <w:t xml:space="preserve">“</w:t>
      </w:r>
      <w:r>
        <w:t xml:space="preserve">The competitive strategy of [your] pursuit,</w:t>
      </w:r>
      <w:r>
        <w:t xml:space="preserve">”</w:t>
      </w:r>
      <w:r>
        <w:t xml:space="preserve"> </w:t>
      </w:r>
      <w:r>
        <w:t xml:space="preserve">2,500 words.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the game, the position, and the portfolio form one strategy?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F4A8E485-D39F-4533-8D73-A0DB8F32C102}"/>
</file>

<file path=customXml/itemProps2.xml><?xml version="1.0" encoding="utf-8"?>
<ds:datastoreItem xmlns:ds="http://schemas.openxmlformats.org/officeDocument/2006/customXml" ds:itemID="{7ED490A9-78DB-4028-BD71-0E2A014502AE}"/>
</file>

<file path=customXml/itemProps3.xml><?xml version="1.0" encoding="utf-8"?>
<ds:datastoreItem xmlns:ds="http://schemas.openxmlformats.org/officeDocument/2006/customXml" ds:itemID="{C1B10674-DED0-4917-8B8E-3AC5540BC4C5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2026-08-05T12:03:55Z</dcterms:created>
  <dcterms:modified xsi:type="dcterms:W3CDTF">2026-08-05T12:03:55Z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