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9944c23a570640cdc68e41c322452a0a5fba689"/>
    <w:p>
      <w:pPr>
        <w:pStyle w:val="Heading1"/>
      </w:pPr>
      <w:r>
        <w:t xml:space="preserve">Graduate Module — Advanced Finance: FAR Cost Principles, DCAA, CAS, TINA (GC 540)</w:t>
      </w:r>
    </w:p>
    <w:p>
      <w:pPr>
        <w:pStyle w:val="FirstParagraph"/>
      </w:pPr>
      <w:r>
        <w:rPr>
          <w:i/>
          <w:iCs/>
        </w:rPr>
        <w:t xml:space="preserve">The session-by-session teaching plan for GC 540. Follows the module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, extended to the 14-week graduate arc. The pricing and cost canon is always at concept altitude (doctrine/08); no assignment requires a specific product. A spreadsheet is the only tool a student needs.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graduate students in the MS program.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GC 501 or concurrent.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the doctrine and literacy folders, the course reader of FAR/standards excerpts.</w:t>
      </w:r>
      <w:r>
        <w:t xml:space="preserve"> </w:t>
      </w:r>
      <w:r>
        <w:rPr>
          <w:b/>
          <w:bCs/>
        </w:rPr>
        <w:t xml:space="preserve">Case object:</w:t>
      </w:r>
      <w:r>
        <w:t xml:space="preserve"> </w:t>
      </w:r>
      <w:r>
        <w:t xml:space="preserve">Ravonics and real, published-and-closed contracts.</w:t>
      </w:r>
    </w:p>
    <w:p>
      <w:r>
        <w:pict>
          <v:rect style="width:0;height:1.5pt" o:hralign="center" o:hrstd="t" o:hr="t"/>
        </w:pict>
      </w:r>
    </w:p>
    <w:bookmarkStart w:id="20" w:name="session-1-the-anatomy-of-contract-money"/>
    <w:p>
      <w:pPr>
        <w:pStyle w:val="Heading2"/>
      </w:pPr>
      <w:r>
        <w:t xml:space="preserve">Session 1 — The anatomy of contract money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decompose a contract’s money into cost, fee, and price; (2) explain which number is contested; (3) state why price is built last.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won a $1M contract. Is $1M the number that matters?</w:t>
      </w:r>
      <w:r>
        <w:t xml:space="preserve">”</w:t>
      </w:r>
      <w:r>
        <w:t xml:space="preserve"> </w:t>
      </w:r>
      <w:r>
        <w:t xml:space="preserve">- Teach (25 min): doctrine/05 + the pricing canon at concept altitude. Cost, fee, price; the building order; where the contest happens.</w:t>
      </w:r>
      <w:r>
        <w:t xml:space="preserve"> </w:t>
      </w:r>
      <w:r>
        <w:t xml:space="preserve">- Apply (25 min): decompose a real (published, closed) award into cost, fee, and price as best the public record shows.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industry obsess over the award value when the contested number is underneath it?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public award value hide? 2. When is price the easiest number to change and the most consequential?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an anatomy memo of a real award.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cost, fee, and price? Why is the price built last?</w:t>
      </w:r>
    </w:p>
    <w:p>
      <w:r>
        <w:pict>
          <v:rect style="width:0;height:1.5pt" o:hralign="center" o:hrstd="t" o:hr="t"/>
        </w:pict>
      </w:r>
    </w:p>
    <w:bookmarkEnd w:id="20"/>
    <w:bookmarkStart w:id="21" w:name="session-2-direct-vs.-indirect-cost"/>
    <w:p>
      <w:pPr>
        <w:pStyle w:val="Heading2"/>
      </w:pPr>
      <w:r>
        <w:t xml:space="preserve">Session 2 — Direct vs. indirect cost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define direct and indirect cost; (2) classify expense items; (3) explain why the classification matters.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your CEO’s salary a cost of this contract?</w:t>
      </w:r>
      <w:r>
        <w:t xml:space="preserve">”</w:t>
      </w:r>
      <w:r>
        <w:t xml:space="preserve"> </w:t>
      </w:r>
      <w:r>
        <w:t xml:space="preserve">- Teach (25 min): the course reader on cost accounting. Direct costs (labor, ODCs, travel, subs) vs. indirect costs (fringe, overhead, G&amp;A); the classification decision.</w:t>
      </w:r>
      <w:r>
        <w:t xml:space="preserve"> </w:t>
      </w:r>
      <w:r>
        <w:t xml:space="preserve">- Apply (25 min): classify twenty expense items as direct or indirect with reasoning.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Who decides the classification, and why does it matter to the price?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an expense genuinely direct? 2. What happens when a cost is misclassified?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classification exercise with reasoning.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direct and indirect cost? Why does classification matter?</w:t>
      </w:r>
    </w:p>
    <w:p>
      <w:r>
        <w:pict>
          <v:rect style="width:0;height:1.5pt" o:hralign="center" o:hrstd="t" o:hr="t"/>
        </w:pict>
      </w:r>
    </w:p>
    <w:bookmarkEnd w:id="21"/>
    <w:bookmarkStart w:id="22" w:name="session-3-the-burden-chain"/>
    <w:p>
      <w:pPr>
        <w:pStyle w:val="Heading2"/>
      </w:pPr>
      <w:r>
        <w:t xml:space="preserve">Session 3 — The burden chain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build a fully-burdened billing rate; (2) show each burden layer; (3) explain the burden multiplier.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Your developer costs $50/hour. What do you bill?</w:t>
      </w:r>
      <w:r>
        <w:t xml:space="preserve">”</w:t>
      </w:r>
      <w:r>
        <w:t xml:space="preserve"> </w:t>
      </w:r>
      <w:r>
        <w:t xml:space="preserve">- Teach (25 min): the burden-chain canon at concept altitude (the rate-composer concept). Fringe on direct labor, overhead on the accumulated base, G&amp;A, fee at the end.</w:t>
      </w:r>
      <w:r>
        <w:t xml:space="preserve"> </w:t>
      </w:r>
      <w:r>
        <w:t xml:space="preserve">- Apply (25 min): build a fully-burdened billing rate from a direct rate and four burden percentages, layer by layer.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does the burden multiplier hide from a customer — and what should it show?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the order of the burden layers matter? 2. What makes a burden rate defensible to an auditor?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burden-chain canon. Deliverable: a worked burden-chain problem.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burden chain? What is a burden multiplier?</w:t>
      </w:r>
    </w:p>
    <w:p>
      <w:r>
        <w:pict>
          <v:rect style="width:0;height:1.5pt" o:hralign="center" o:hrstd="t" o:hr="t"/>
        </w:pict>
      </w:r>
    </w:p>
    <w:bookmarkEnd w:id="22"/>
    <w:bookmarkStart w:id="23" w:name="session-4-far-part-31-cost-principles"/>
    <w:p>
      <w:pPr>
        <w:pStyle w:val="Heading2"/>
      </w:pPr>
      <w:r>
        <w:t xml:space="preserve">Session 4 — FAR Part 31 cost principles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state the three tests — allowability, allocability, reasonableness; (2) apply them to a cost; (3) identify unallowable costs.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government will not pay for your company picnic. Where is that written?</w:t>
      </w:r>
      <w:r>
        <w:t xml:space="preserve">”</w:t>
      </w:r>
      <w:r>
        <w:t xml:space="preserve"> </w:t>
      </w:r>
      <w:r>
        <w:t xml:space="preserve">- Teach (25 min): the course reader on FAR Part 31 + doctrine/04. The three tests; the judgment each requires; unallowable costs.</w:t>
      </w:r>
      <w:r>
        <w:t xml:space="preserve"> </w:t>
      </w:r>
      <w:r>
        <w:t xml:space="preserve">- Apply (25 min): apply the three tests to three real (sanitized) costs.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test is the hardest to defend — allowability, allocability, or reasonableness?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a reasonable cost, and who decides? 2. How does the unallowable-cost trap set itself?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case memo applying the three tests.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tests of a cost? What makes a cost unallowable?</w:t>
      </w:r>
    </w:p>
    <w:p>
      <w:r>
        <w:pict>
          <v:rect style="width:0;height:1.5pt" o:hralign="center" o:hrstd="t" o:hr="t"/>
        </w:pict>
      </w:r>
    </w:p>
    <w:bookmarkEnd w:id="23"/>
    <w:bookmarkStart w:id="24" w:name="session-5-cost-accounting-standards"/>
    <w:p>
      <w:pPr>
        <w:pStyle w:val="Heading2"/>
      </w:pPr>
      <w:r>
        <w:t xml:space="preserve">Session 5 — Cost Accounting Standards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what CAS standardizes; (2) state when CAS applies; (3) describe a disclosure statement.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it mean for a firm’s accounting to be</w:t>
      </w:r>
      <w:r>
        <w:t xml:space="preserve"> </w:t>
      </w:r>
      <w:r>
        <w:t xml:space="preserve">‘</w:t>
      </w:r>
      <w:r>
        <w:t xml:space="preserve">compliant</w:t>
      </w:r>
      <w:r>
        <w:t xml:space="preserve">’</w:t>
      </w:r>
      <w:r>
        <w:t xml:space="preserve">?</w:t>
      </w:r>
      <w:r>
        <w:t xml:space="preserve">”</w:t>
      </w:r>
      <w:r>
        <w:t xml:space="preserve"> </w:t>
      </w:r>
      <w:r>
        <w:t xml:space="preserve">- Teach (25 min): the course reader on CAS. Consistency, cost accounting, allocation bases; the disclosure statement; noncompliance.</w:t>
      </w:r>
      <w:r>
        <w:t xml:space="preserve"> </w:t>
      </w:r>
      <w:r>
        <w:t xml:space="preserve">- Apply (25 min): compare CAS discipline with good-enough bookkeeping, and trace where CAS binds pricing flexibility.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government care how a firm accounts for its own costs?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consistency actually protect? 2. When is CAS a competitive burden, and when is it a quality signal?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comparison memo on CAS discipline.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CAS standardize? What is a disclosure statement?</w:t>
      </w:r>
    </w:p>
    <w:p>
      <w:r>
        <w:pict>
          <v:rect style="width:0;height:1.5pt" o:hralign="center" o:hrstd="t" o:hr="t"/>
        </w:pict>
      </w:r>
    </w:p>
    <w:bookmarkEnd w:id="24"/>
    <w:bookmarkStart w:id="25" w:name="session-6-dcaa-and-the-audit-life"/>
    <w:p>
      <w:pPr>
        <w:pStyle w:val="Heading2"/>
      </w:pPr>
      <w:r>
        <w:t xml:space="preserve">Session 6 — DCAA and the audit life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audit agency’s role across the contract life; (2) prepare a firm for an audit; (3) build a DCAA-readiness checklist.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An auditor is coming. What do you show them first?</w:t>
      </w:r>
      <w:r>
        <w:t xml:space="preserve">”</w:t>
      </w:r>
      <w:r>
        <w:t xml:space="preserve"> </w:t>
      </w:r>
      <w:r>
        <w:t xml:space="preserve">- Teach (25 min): the course reader on DCAA. Pre-award, forward pricing, incurred-cost audits; what auditors look for.</w:t>
      </w:r>
      <w:r>
        <w:t xml:space="preserve"> </w:t>
      </w:r>
      <w:r>
        <w:t xml:space="preserve">- Apply (25 min): build a DCAA-readiness checklist for a firm that prices cost-type work — provisional rates to the audit.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Is an audit a threat or a discipline? Both — explain.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a pre-award and an incurred-cost audit? 2. What makes a firm audit-ready as a habit, not a scramble?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DCAA-readiness checklist.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audit life? What does an auditor look for?</w:t>
      </w:r>
    </w:p>
    <w:p>
      <w:r>
        <w:pict>
          <v:rect style="width:0;height:1.5pt" o:hralign="center" o:hrstd="t" o:hr="t"/>
        </w:pict>
      </w:r>
    </w:p>
    <w:bookmarkEnd w:id="25"/>
    <w:bookmarkStart w:id="26" w:name="X602a9d3d3c7aa35aed771e8acfd3874450fea2a"/>
    <w:p>
      <w:pPr>
        <w:pStyle w:val="Heading2"/>
      </w:pPr>
      <w:r>
        <w:t xml:space="preserve">Session 7 — TINA: the truth-in-negotiation rule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state when TINA requires certified cost or pricing data; (2) explain what the certificate attests; (3) state the defective-pricing consequence.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 disclosed your cost estimate. You left out your best rate. What happens?</w:t>
      </w:r>
      <w:r>
        <w:t xml:space="preserve">”</w:t>
      </w:r>
      <w:r>
        <w:t xml:space="preserve"> </w:t>
      </w:r>
      <w:r>
        <w:t xml:space="preserve">- Teach (25 min): the course reader on TINA. Certified cost or pricing data; the certificate; defective pricing; the difference between cost data and cost judgment.</w:t>
      </w:r>
      <w:r>
        <w:t xml:space="preserve"> </w:t>
      </w:r>
      <w:r>
        <w:t xml:space="preserve">- Apply (25 min): a fact pattern — determine whether TINA applies, what must be disclosed, and what a defective disclosure would cost.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is an honest cost disclosure a strategic asset, not a vulnerability?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difference between cost data and judgment? 2. Why does the government require the certificate above the threshold?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course reader. Deliverable: a TINA scenario memo.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When does TINA apply? What is defective pricing?</w:t>
      </w:r>
    </w:p>
    <w:p>
      <w:r>
        <w:pict>
          <v:rect style="width:0;height:1.5pt" o:hralign="center" o:hrstd="t" o:hr="t"/>
        </w:pict>
      </w:r>
    </w:p>
    <w:bookmarkEnd w:id="26"/>
    <w:bookmarkStart w:id="27" w:name="Xf3c47e6b2f6180618c740edf69dd74c688e5d95"/>
    <w:p>
      <w:pPr>
        <w:pStyle w:val="Heading2"/>
      </w:pPr>
      <w:r>
        <w:t xml:space="preserve">Session 8 — Contract type as financial risk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map cost risk across contract types; (2) explain the fee mechanism of each; (3) connect contract type to the margin floor.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Same work. FFP or CPFF — which is the better business?</w:t>
      </w:r>
      <w:r>
        <w:t xml:space="preserve">”</w:t>
      </w:r>
      <w:r>
        <w:t xml:space="preserve"> </w:t>
      </w:r>
      <w:r>
        <w:t xml:space="preserve">- Teach (25 min): doctrine/05 + the contract-type and margin-floor canon at concept altitude. FFP, T&amp;M, FFP-LoE, CPFF, CPAF, CPIF; who bears risk; the floor.</w:t>
      </w:r>
      <w:r>
        <w:t xml:space="preserve"> </w:t>
      </w:r>
      <w:r>
        <w:t xml:space="preserve">- Apply (25 min): build the contract-type risk/fee/floor matrix.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Why does the margin floor differ by contract type?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contract type best aligns the firm’s incentive with the customer’s? 2. When does a higher floor make you less competitive — and why keep it?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the contract-type risk/fee/floor matrix.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contract type allocate financial risk? Why do floors differ by type?</w:t>
      </w:r>
    </w:p>
    <w:p>
      <w:r>
        <w:pict>
          <v:rect style="width:0;height:1.5pt" o:hralign="center" o:hrstd="t" o:hr="t"/>
        </w:pict>
      </w:r>
    </w:p>
    <w:bookmarkEnd w:id="27"/>
    <w:bookmarkStart w:id="28" w:name="session-9-midterm"/>
    <w:p>
      <w:pPr>
        <w:pStyle w:val="Heading2"/>
      </w:pPr>
      <w:r>
        <w:t xml:space="preserve">Session 9 — Midterm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demonstrate: (1) cost classification; (2) burden-chain skill; (3) principles and TINA posture.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 exam logistics.</w:t>
      </w:r>
      <w:r>
        <w:t xml:space="preserve"> </w:t>
      </w:r>
      <w:r>
        <w:t xml:space="preserve">- Exam (65 min): a case cost structure is distributed. Students classify, build the burden chain, apply the principles, and state the TINA posture.</w:t>
      </w:r>
      <w:r>
        <w:t xml:space="preserve"> </w:t>
      </w:r>
      <w:r>
        <w:t xml:space="preserve">- Close (5 min): what to review for the second half.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n/a (examination).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Review weeks 1–8. Deliverable: midterm submission.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n/a.</w:t>
      </w:r>
    </w:p>
    <w:p>
      <w:r>
        <w:pict>
          <v:rect style="width:0;height:1.5pt" o:hralign="center" o:hrstd="t" o:hr="t"/>
        </w:pict>
      </w:r>
    </w:p>
    <w:bookmarkEnd w:id="28"/>
    <w:bookmarkStart w:id="29" w:name="session-10-building-the-cost-volume"/>
    <w:p>
      <w:pPr>
        <w:pStyle w:val="Heading2"/>
      </w:pPr>
      <w:r>
        <w:t xml:space="preserve">Session 10 — Building the cost volume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structure a cost volume at the CLIN level; (2) extend labor, ODC, travel, and sub lines; (3) justify every line.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A cost volume is a contract with the customer about what the price means.</w:t>
      </w:r>
      <w:r>
        <w:t xml:space="preserve">”</w:t>
      </w:r>
      <w:r>
        <w:t xml:space="preserve"> </w:t>
      </w:r>
      <w:r>
        <w:t xml:space="preserve">- Teach (25 min): the cost-volume canon at concept altitude. CLIN/sub-CLIN structure; labor, ODCs, travel, subcontracts; line extensions and justifications.</w:t>
      </w:r>
      <w:r>
        <w:t xml:space="preserve"> </w:t>
      </w:r>
      <w:r>
        <w:t xml:space="preserve">- Apply (25 min): build a cost volume for a case pursuit — every line with a justification.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line is the first an auditor attacks?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must every ODC and travel line carry a justification? 2. How does the CLIN structure serve the customer’s budget review?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cost-volume canon. Deliverable: a cost volume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CLIN? Why must every line be justified?</w:t>
      </w:r>
    </w:p>
    <w:p>
      <w:r>
        <w:pict>
          <v:rect style="width:0;height:1.5pt" o:hralign="center" o:hrstd="t" o:hr="t"/>
        </w:pict>
      </w:r>
    </w:p>
    <w:bookmarkEnd w:id="29"/>
    <w:bookmarkStart w:id="30" w:name="session-11-the-basis-of-estimate"/>
    <w:p>
      <w:pPr>
        <w:pStyle w:val="Heading2"/>
      </w:pPr>
      <w:r>
        <w:t xml:space="preserve">Session 11 — The basis of estimate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write a BOE for a cost element; (2) state the rate basis, hours basis, and escalation basis; (3) make a BOE credible to an auditor.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‘</w:t>
      </w:r>
      <w:r>
        <w:t xml:space="preserve">Trust me</w:t>
      </w:r>
      <w:r>
        <w:t xml:space="preserve">’</w:t>
      </w:r>
      <w:r>
        <w:t xml:space="preserve"> </w:t>
      </w:r>
      <w:r>
        <w:t xml:space="preserve">is not a basis of estimate. What is?</w:t>
      </w:r>
      <w:r>
        <w:t xml:space="preserve">”</w:t>
      </w:r>
      <w:r>
        <w:t xml:space="preserve"> </w:t>
      </w:r>
      <w:r>
        <w:t xml:space="preserve">- Teach (25 min): the BOE canon at concept altitude. The rate basis, the hours basis, the escalation basis, the vendor quote; what makes a BOE credible.</w:t>
      </w:r>
      <w:r>
        <w:t xml:space="preserve"> </w:t>
      </w:r>
      <w:r>
        <w:t xml:space="preserve">- Apply (25 min): write full BOEs for the three largest cost elements in your cost volume.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separates a defensible BOE from a guess with a title?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When is a historical rate a defensible basis? 2. What does a BOE need to survive an auditor’s question?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BOE canon. Deliverable: full BOEs for three cost elements.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a BOE? What are the bases a BOE must document?</w:t>
      </w:r>
    </w:p>
    <w:p>
      <w:r>
        <w:pict>
          <v:rect style="width:0;height:1.5pt" o:hralign="center" o:hrstd="t" o:hr="t"/>
        </w:pict>
      </w:r>
    </w:p>
    <w:bookmarkEnd w:id="30"/>
    <w:bookmarkStart w:id="31" w:name="session-12-price-to-win-with-the-floor"/>
    <w:p>
      <w:pPr>
        <w:pStyle w:val="Heading2"/>
      </w:pPr>
      <w:r>
        <w:t xml:space="preserve">Session 12 — Price-to-win, with the floor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set the three pricing anchors; (2) compute the margin at target; (3) apply the escalation ladder when the floor fails.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competitor band, the affordability ceiling, and the cost floor. Which one wins?</w:t>
      </w:r>
      <w:r>
        <w:t xml:space="preserve">”</w:t>
      </w:r>
      <w:r>
        <w:t xml:space="preserve"> </w:t>
      </w:r>
      <w:r>
        <w:t xml:space="preserve">- Teach (25 min): doctrine/05 + the price-to-win and floor-discipline canon at concept altitude. The three anchors; strategy selection; the margin at target; the escalation ladder.</w:t>
      </w:r>
      <w:r>
        <w:t xml:space="preserve"> </w:t>
      </w:r>
      <w:r>
        <w:t xml:space="preserve">- Apply (25 min): set the price-to-win for a case pursuit; show the anchors, the margin, and the escalation if the floor fails.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When the floor cannot be honored at any price below the ceiling, what is the move?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Which anchor dominates in an LPTA, and which in best-value? 2. Why does a floor breach require a human escalation, not a silent override?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the price-to-win memo with anchors, margin, and escalation.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three pricing anchors? What is the escalation ladder?</w:t>
      </w:r>
    </w:p>
    <w:p>
      <w:r>
        <w:pict>
          <v:rect style="width:0;height:1.5pt" o:hralign="center" o:hrstd="t" o:hr="t"/>
        </w:pict>
      </w:r>
    </w:p>
    <w:bookmarkEnd w:id="31"/>
    <w:bookmarkStart w:id="32" w:name="session-13-cost-technical-reconciliation"/>
    <w:p>
      <w:pPr>
        <w:pStyle w:val="Heading2"/>
      </w:pPr>
      <w:r>
        <w:t xml:space="preserve">Session 13 — Cost-technical reconciliation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prove the price is the technical proposal in money; (2) write a reconciliation memo; (3) identify mismatches.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Your technical volume promises a 20-person team. Your cost volume shows ten. Which one is the proposal?</w:t>
      </w:r>
      <w:r>
        <w:t xml:space="preserve">”</w:t>
      </w:r>
      <w:r>
        <w:t xml:space="preserve"> </w:t>
      </w:r>
      <w:r>
        <w:t xml:space="preserve">- Teach (25 min): the reconciliation canon at concept altitude + doctrine/05. The cost-technical link; the reconciliation memo as the auditable record.</w:t>
      </w:r>
      <w:r>
        <w:t xml:space="preserve"> </w:t>
      </w:r>
      <w:r>
        <w:t xml:space="preserve">- Apply (25 min): reconcile a case cost volume with its technical volume; state every mismatch.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Where do cost and technical volumes most commonly drift apart?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is the reconciliation memo signed before submission? 2. What does a mismatch reveal about the strategy?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reconciliation memo for a case pursuit.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cost-technical reconciliation? Why must the memo be signed?</w:t>
      </w:r>
    </w:p>
    <w:p>
      <w:r>
        <w:pict>
          <v:rect style="width:0;height:1.5pt" o:hralign="center" o:hrstd="t" o:hr="t"/>
        </w:pict>
      </w:r>
    </w:p>
    <w:bookmarkEnd w:id="32"/>
    <w:bookmarkStart w:id="33" w:name="X2a818794eb7d486d1a809f39cb8e76c77d9870e"/>
    <w:p>
      <w:pPr>
        <w:pStyle w:val="Heading2"/>
      </w:pPr>
      <w:r>
        <w:t xml:space="preserve">Session 14 — The financial life of a pursuit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govern B&amp;P budgets; (2) manage the financial life of a pursuit; (3) defend a complete pricing volume.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The price is submitted. The financial life of the pursuit continues. What changes?</w:t>
      </w:r>
      <w:r>
        <w:t xml:space="preserve">”</w:t>
      </w:r>
      <w:r>
        <w:t xml:space="preserve"> </w:t>
      </w:r>
      <w:r>
        <w:t xml:space="preserve">- Teach (15 min): course synthesis — B&amp;P budgets, cash flow, margin discipline, the record that outlasts the contract.</w:t>
      </w:r>
      <w:r>
        <w:t xml:space="preserve"> </w:t>
      </w:r>
      <w:r>
        <w:t xml:space="preserve">- Apply (35 min): panel defense of the final pricing volumes; the panel includes a pricing practitioner.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Which finance concept will you use first in your own work?</w:t>
      </w:r>
      <w:r>
        <w:t xml:space="preserve">”</w:t>
      </w:r>
      <w:r>
        <w:t xml:space="preserve"> </w:t>
      </w:r>
      <w:r>
        <w:t xml:space="preserve">- Close (5 min): bridge to GE 610 and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How does B&amp;P budgeting govern which pursuits a firm can afford to run? 2. What is the record a firm must keep after the contract ends?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Course synthesis. Deliverable: final pricing volume for a case pursuit, defended.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How does finance govern the pursuit life? What is the one idea you will carry forward?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C42AD930-829D-48AE-9F6E-C7A29EDDE4AF}"/>
</file>

<file path=customXml/itemProps2.xml><?xml version="1.0" encoding="utf-8"?>
<ds:datastoreItem xmlns:ds="http://schemas.openxmlformats.org/officeDocument/2006/customXml" ds:itemID="{A2BBC948-E413-46EC-BD0D-A991C9BC324C}"/>
</file>

<file path=customXml/itemProps3.xml><?xml version="1.0" encoding="utf-8"?>
<ds:datastoreItem xmlns:ds="http://schemas.openxmlformats.org/officeDocument/2006/customXml" ds:itemID="{CF29468A-2D9D-4955-89C6-D8AAC798DC8C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2026-08-05T12:03:54Z</dcterms:created>
  <dcterms:modified xsi:type="dcterms:W3CDTF">2026-08-05T12:03:54Z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