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the-twenty-year-arc-a-lifetime-roadmap"/>
    <w:p>
      <w:pPr>
        <w:pStyle w:val="Heading1"/>
      </w:pPr>
      <w:r>
        <w:t xml:space="preserve">The Twenty-Year Arc — A Lifetime Roadmap</w:t>
      </w:r>
    </w:p>
    <w:p>
      <w:pPr>
        <w:pStyle w:val="FirstParagraph"/>
      </w:pPr>
      <w:r>
        <w:rPr>
          <w:i/>
          <w:iCs/>
        </w:rPr>
        <w:t xml:space="preserve">The federal market is not a lottery; it is a pipeline — and the pipeline is teachable. It is also worth a lifetime of study. This roadmap is the map for that lifetime: what to study, what to practice, and what to give back in every era from first encounter to corpus authorship.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forever-learning ·</w:t>
      </w:r>
      <w:r>
        <w:t xml:space="preserve"> </w:t>
      </w:r>
      <w:r>
        <w:rPr>
          <w:b/>
          <w:bCs/>
        </w:rPr>
        <w:t xml:space="preserve">Companions:</w:t>
      </w:r>
      <w:r>
        <w:t xml:space="preserve"> </w:t>
      </w:r>
      <w:hyperlink r:id="rId20">
        <w:r>
          <w:rPr>
            <w:rStyle w:val="Hyperlink"/>
          </w:rPr>
          <w:t xml:space="preserve">course/forever-learning-program.md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modules/forever-learning/README.md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guides/onboarding-and-placement.md</w:t>
        </w:r>
      </w:hyperlink>
      <w:r>
        <w:t xml:space="preserve">.</w:t>
      </w:r>
    </w:p>
    <w:p>
      <w:pPr>
        <w:pStyle w:val="BodyText"/>
      </w:pPr>
      <w:r>
        <w:t xml:space="preserve">This module is the</w:t>
      </w:r>
      <w:r>
        <w:t xml:space="preserve"> </w:t>
      </w:r>
      <w:r>
        <w:rPr>
          <w:b/>
          <w:bCs/>
        </w:rPr>
        <w:t xml:space="preserve">year-by-year roadmap</w:t>
      </w:r>
      <w:r>
        <w:t xml:space="preserve"> </w:t>
      </w:r>
      <w:r>
        <w:t xml:space="preserve">for the forever-learning promise. It draws on every tier of the curriculum — undergraduate, graduate, doctoral, and this one — and organizes them into a career’s worth of study. It is deliberately not a fixed contract: a learner enters at any era (a 50-year-old professional does not start in era one), and every era can be stretched or compressed. What it gives is the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of a lifetime in the discipline.</w:t>
      </w:r>
    </w:p>
    <w:bookmarkStart w:id="23" w:name="the-arc-in-one-page"/>
    <w:p>
      <w:pPr>
        <w:pStyle w:val="Heading2"/>
      </w:pPr>
      <w:r>
        <w:t xml:space="preserve">The arc in one page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identity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relationship to the discipline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 — New entrant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1–2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Learning the territory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Consume</w:t>
            </w:r>
            <w:r>
              <w:t xml:space="preserve">: what the discipline is.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II — Apprentice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3–5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Learning the craft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Apply</w:t>
            </w:r>
            <w:r>
              <w:t xml:space="preserve">: how to do the discipline.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III — Journeyman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6–10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Running the pursuit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Own</w:t>
            </w:r>
            <w:r>
              <w:t xml:space="preserve">: leading real pursuits end to end.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IV — Master capture professional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11–15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Leading the organization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Govern</w:t>
            </w:r>
            <w:r>
              <w:t xml:space="preserve">: designing gates, portfolios, and posture.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 — Mentor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16–20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the next cohort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Give back</w:t>
            </w:r>
            <w:r>
              <w:t xml:space="preserve">: coaching, peer review, committee service.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VI — Executive &amp; corpus author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Stewarding the field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Steward</w:t>
            </w:r>
            <w:r>
              <w:t xml:space="preserve">: executive leadership and research authorship.</w:t>
            </w:r>
          </w:p>
        </w:tc>
      </w:tr>
    </w:tbl>
    <w:p>
      <w:pPr>
        <w:pStyle w:val="BodyText"/>
      </w:pPr>
      <w:r>
        <w:t xml:space="preserve">Each era has four columns in the detailed roadmap below:</w:t>
      </w:r>
      <w:r>
        <w:t xml:space="preserve"> </w:t>
      </w:r>
      <w:r>
        <w:rPr>
          <w:b/>
          <w:bCs/>
        </w:rPr>
        <w:t xml:space="preserve">the identity</w:t>
      </w:r>
      <w:r>
        <w:t xml:space="preserve">,</w:t>
      </w:r>
      <w:r>
        <w:t xml:space="preserve"> </w:t>
      </w:r>
      <w:r>
        <w:rPr>
          <w:b/>
          <w:bCs/>
        </w:rPr>
        <w:t xml:space="preserve">what to study</w:t>
      </w:r>
      <w:r>
        <w:t xml:space="preserve">,</w:t>
      </w:r>
      <w:r>
        <w:t xml:space="preserve"> </w:t>
      </w:r>
      <w:r>
        <w:rPr>
          <w:b/>
          <w:bCs/>
        </w:rPr>
        <w:t xml:space="preserve">what to practice</w:t>
      </w:r>
      <w:r>
        <w:t xml:space="preserve">, and</w:t>
      </w:r>
      <w:r>
        <w:t xml:space="preserve"> </w:t>
      </w:r>
      <w:r>
        <w:rPr>
          <w:b/>
          <w:bCs/>
        </w:rPr>
        <w:t xml:space="preserve">what to give back</w:t>
      </w:r>
      <w:r>
        <w:t xml:space="preserve">. The Launchpad mapping is noted per era (align/concept-to-system-map.md keeps the crosswalk current).</w:t>
      </w:r>
    </w:p>
    <w:p>
      <w:r>
        <w:pict>
          <v:rect style="width:0;height:1.5pt" o:hralign="center" o:hrstd="t" o:hr="t"/>
        </w:pict>
      </w:r>
    </w:p>
    <w:bookmarkEnd w:id="23"/>
    <w:bookmarkStart w:id="24" w:name="era-i-new-entrant-years-12"/>
    <w:p>
      <w:pPr>
        <w:pStyle w:val="Heading2"/>
      </w:pPr>
      <w:r>
        <w:t xml:space="preserve">Era I — New entrant (years 1–2)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learning the territory. This era is where the discipline becomes a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rather than a rumor.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full doctrine in order (doctrine/01–10) — the curriculum’s intellectual spine. The literacy layer opens with it: the glossary, the acronym decoder, and the RFP/NOFO reading maps. The undergraduate tier is the structured path (course/undergraduate-program-overview.md): DL 101–102 (foundations and reading the solicitation), DL 210 (the pursuit pipeline), DL 220 (pricing and price-to-win fundamentals). The Ravonics case (case-study/ravonics.md) is worked alongside everything — the same canary company the machine side validates the doctrine on.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t xml:space="preserve">Read real solicitations from week one — published-and-closed RFPs and NOFOs from SAM.gov and Grants.gov. Trace the money (literacy/where-the-money-flows.md) for a single award. Work the practice bank’s doctrine drills (practice/exercises.md). Build the first ORBITAL on a real, closed solicitation (course/capstone-build-an-orbital.md).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Almost nothing yet — and that is correct. The era’s contribution is showing up: completing the self-checks, keeping the reading honest, and asking the questions the doctrine does not yet answer.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L1 Explorer.</w:t>
      </w:r>
    </w:p>
    <w:p>
      <w:r>
        <w:pict>
          <v:rect style="width:0;height:1.5pt" o:hralign="center" o:hrstd="t" o:hr="t"/>
        </w:pict>
      </w:r>
    </w:p>
    <w:bookmarkEnd w:id="24"/>
    <w:bookmarkStart w:id="25" w:name="era-ii-apprentice-years-35"/>
    <w:p>
      <w:pPr>
        <w:pStyle w:val="Heading2"/>
      </w:pPr>
      <w:r>
        <w:t xml:space="preserve">Era II — Apprentice (years 3–5)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learning the craft. The pipeline becomes something the apprentice can</w:t>
      </w:r>
      <w:r>
        <w:t xml:space="preserve"> </w:t>
      </w:r>
      <w:r>
        <w:rPr>
          <w:i/>
          <w:iCs/>
        </w:rPr>
        <w:t xml:space="preserve">run</w:t>
      </w:r>
      <w:r>
        <w:t xml:space="preserve">, at least in simulation and under supervision.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graduate tier (course/graduate-program-overview.md): GC 501 (microeconomics of procurement), GC 510 (competitive strategy and game theory), GC 520 (organizational theory and governance), GC 530 (research methods), GC 540 (advanced finance — FAR cost principles, DCAA, CAS, TINA). The graduate electives sharpen one craft at a time: negotiations and pricing posture (GE 610), teaming and joint ventures (GE 620), competitive intelligence (GE 630), proposal management and color teams (GE 640).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t xml:space="preserve">The graduate capstone or thesis (GC 690 / GC 690T): a real, published-and-closed competition worked to a complete capture plan, a scored bid/no-bid, a pricing volume, and a defense before a panel. The apprentice learns the color-team cadence by serving on reviews (literacy/how-color-teams-work.md). Where the learner works in industry, their own pursuit portfolio becomes the sandbox, under the curriculum’s safe-exercise rules.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The apprentice begins to teach: presenting a doctrine chapter to a study group, writing a case-library entry for the cross-cohort archive (alumni-community.md), and logging honest predictions on their own pursuits — the field’s most undervalued research contribution.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L2 Builder.</w:t>
      </w:r>
    </w:p>
    <w:p>
      <w:r>
        <w:pict>
          <v:rect style="width:0;height:1.5pt" o:hralign="center" o:hrstd="t" o:hr="t"/>
        </w:pict>
      </w:r>
    </w:p>
    <w:bookmarkEnd w:id="25"/>
    <w:bookmarkStart w:id="26" w:name="era-iii-journeyman-years-610"/>
    <w:p>
      <w:pPr>
        <w:pStyle w:val="Heading2"/>
      </w:pPr>
      <w:r>
        <w:t xml:space="preserve">Era III — Journeyman (years 6–10)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running the pursuit. The journeyman owns real pursuits end to end — and the discipline stops being something studied and becomes something</w:t>
      </w:r>
      <w:r>
        <w:t xml:space="preserve"> </w:t>
      </w:r>
      <w:r>
        <w:rPr>
          <w:i/>
          <w:iCs/>
        </w:rPr>
        <w:t xml:space="preserve">practiced under pressure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doctoral research posture begins here, even for the practitioner who will never take the degree: the research agenda (modules/doctoral/research-agenda.md) is read as</w:t>
      </w:r>
      <w:r>
        <w:t xml:space="preserve"> </w:t>
      </w:r>
      <w:r>
        <w:rPr>
          <w:i/>
          <w:iCs/>
        </w:rPr>
        <w:t xml:space="preserve">the map of what the field does not yet know</w:t>
      </w:r>
      <w:r>
        <w:t xml:space="preserve">, and the research methods courses (DL 901–903) are read as</w:t>
      </w:r>
      <w:r>
        <w:t xml:space="preserve"> </w:t>
      </w:r>
      <w:r>
        <w:rPr>
          <w:i/>
          <w:iCs/>
        </w:rPr>
        <w:t xml:space="preserve">how to read the evidence</w:t>
      </w:r>
      <w:r>
        <w:t xml:space="preserve">. The practitioner re-reads the doctrine chapters that their losses have now tested.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t xml:space="preserve">Run captures, own bid/no-bid calls, sit at gates, lead color teams. This is the era of</w:t>
      </w:r>
      <w:r>
        <w:t xml:space="preserve"> </w:t>
      </w:r>
      <w:r>
        <w:rPr>
          <w:b/>
          <w:bCs/>
        </w:rPr>
        <w:t xml:space="preserve">repetition with reflection</w:t>
      </w:r>
      <w:r>
        <w:t xml:space="preserve">: every pursuit gets a debrief, every loss gets mined, every prediction gets logged. The journeyman practices the current-event discipline (executive-education.md’s roundtable format) on their own pipeline. Peer review begins — serving on another team’s color team is the fastest way to sharpen judgment.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The journeyman becomes a</w:t>
      </w:r>
      <w:r>
        <w:t xml:space="preserve"> </w:t>
      </w:r>
      <w:r>
        <w:rPr>
          <w:b/>
          <w:bCs/>
        </w:rPr>
        <w:t xml:space="preserve">practicum mentor</w:t>
      </w:r>
      <w:r>
        <w:t xml:space="preserve"> </w:t>
      </w:r>
      <w:r>
        <w:t xml:space="preserve">for an apprentice (alumni-community.md) — coaching one student through a full pursuit cycle. Mentoring is the first serious test of whether the journeyman actually understands the doctrine, because teaching exposes what experience had merely assumed.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L3 Architect.</w:t>
      </w:r>
    </w:p>
    <w:p>
      <w:r>
        <w:pict>
          <v:rect style="width:0;height:1.5pt" o:hralign="center" o:hrstd="t" o:hr="t"/>
        </w:pict>
      </w:r>
    </w:p>
    <w:bookmarkEnd w:id="26"/>
    <w:bookmarkStart w:id="27" w:name="X61da5004ee567abe4b1a5433515cbbc12b0435b"/>
    <w:p>
      <w:pPr>
        <w:pStyle w:val="Heading2"/>
      </w:pPr>
      <w:r>
        <w:t xml:space="preserve">Era IV — Master capture professional (years 11–15)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leading the organization. The master no longer runs one pursuit; they design the</w:t>
      </w:r>
      <w:r>
        <w:t xml:space="preserve"> </w:t>
      </w:r>
      <w:r>
        <w:rPr>
          <w:i/>
          <w:iCs/>
        </w:rPr>
        <w:t xml:space="preserve">system</w:t>
      </w:r>
      <w:r>
        <w:t xml:space="preserve"> </w:t>
      </w:r>
      <w:r>
        <w:t xml:space="preserve">that runs many — the gates, the decision rights, the portfolio, the posture.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executive tier (modules/forever-learning/executive-education.md): the executive master classes (the strategy of the portfolio, the economics of the win rate, gate governance at scale, the shape of the market, price-to-win as strategy, team/JV/solo). The regulatory-change watch becomes a standing discipline. The executive’s reading list deepens the canon: decision science, game theory at altitude, the debrief and protest record, and the machine corpus read as doctrine.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pursuit-leadership studio</w:t>
      </w:r>
      <w:r>
        <w:t xml:space="preserve"> </w:t>
      </w:r>
      <w:r>
        <w:t xml:space="preserve">— bringing real organizational problems (a gate that keeps getting overridden, a portfolio that is not allocating capacity well) into a peer room and designing the fix. Peer review of</w:t>
      </w:r>
      <w:r>
        <w:t xml:space="preserve"> </w:t>
      </w:r>
      <w:r>
        <w:rPr>
          <w:i/>
          <w:iCs/>
        </w:rPr>
        <w:t xml:space="preserve">live captures</w:t>
      </w:r>
      <w:r>
        <w:t xml:space="preserve"> </w:t>
      </w:r>
      <w:r>
        <w:t xml:space="preserve">— the master serves as an independent reviewer for another organization’s work. And the master practices the hardest skill of all:</w:t>
      </w:r>
      <w:r>
        <w:t xml:space="preserve"> </w:t>
      </w:r>
      <w:r>
        <w:rPr>
          <w:b/>
          <w:bCs/>
        </w:rPr>
        <w:t xml:space="preserve">saying no</w:t>
      </w:r>
      <w:r>
        <w:t xml:space="preserve"> </w:t>
      </w:r>
      <w:r>
        <w:t xml:space="preserve">— building the no-bid discipline into an organization that used to chase everything.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The master contributes at the organizational layer: designing gate charters, writing the firm’s pursuit doctrine, and serving as the senior reviewer in the studio. The master’s logged outcomes — years of honest predictions against realized awards — are now a body of evidence the research tier can use.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L4 Networker → L5 Leader.</w:t>
      </w:r>
    </w:p>
    <w:p>
      <w:r>
        <w:pict>
          <v:rect style="width:0;height:1.5pt" o:hralign="center" o:hrstd="t" o:hr="t"/>
        </w:pict>
      </w:r>
    </w:p>
    <w:bookmarkEnd w:id="27"/>
    <w:bookmarkStart w:id="28" w:name="era-v-mentor-years-1620"/>
    <w:p>
      <w:pPr>
        <w:pStyle w:val="Heading2"/>
      </w:pPr>
      <w:r>
        <w:t xml:space="preserve">Era V — Mentor (years 16–20)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raising the next cohort. The mentor’s own pursuits matter less than the people they raise.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doctoral and post-doctoral tiers deepen (modules/forever-learning/post-doctoral-fellowship.md): the advanced research seminar’s cross-disciplinary methods (decision science, game theory, behavioral economics, organizational learning), and the corpus-authoring discipline. The mentor studies</w:t>
      </w:r>
      <w:r>
        <w:t xml:space="preserve"> </w:t>
      </w:r>
      <w:r>
        <w:rPr>
          <w:i/>
          <w:iCs/>
        </w:rPr>
        <w:t xml:space="preserve">how the field is changing</w:t>
      </w:r>
      <w:r>
        <w:t xml:space="preserve"> </w:t>
      </w:r>
      <w:r>
        <w:t xml:space="preserve">as much as what is true.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rPr>
          <w:b/>
          <w:bCs/>
        </w:rPr>
        <w:t xml:space="preserve">Committee service</w:t>
      </w:r>
      <w:r>
        <w:t xml:space="preserve">: the mentor sits on doctoral committees as a domain expert, and eventually chairs a dissertation.</w:t>
      </w:r>
      <w:r>
        <w:t xml:space="preserve"> </w:t>
      </w:r>
      <w:r>
        <w:rPr>
          <w:b/>
          <w:bCs/>
        </w:rPr>
        <w:t xml:space="preserve">Alumni-community leadership</w:t>
      </w:r>
      <w:r>
        <w:t xml:space="preserve">: running a study group, presenting at the annual symposium, stewarding the cross-cohort case library. The mentor practices the discipline’s governance on the community itself — holding the case library to its integrity standards, gating the debrief-retrofits.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This is the giving era. The mentor coaches multiple apprentices, reviews doctoral work, authors case-library entries, and proposes debrief-retrofits that ship into the curriculum. A mentor’s real legacy is measured the way the doctrine measures everything:</w:t>
      </w:r>
      <w:r>
        <w:t xml:space="preserve"> </w:t>
      </w:r>
      <w:r>
        <w:rPr>
          <w:i/>
          <w:iCs/>
        </w:rPr>
        <w:t xml:space="preserve">did the people they raised win more consistently?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L5 Leader; Ignition Legacy Track (M1–M9) for professionals who come to the discipline later in life.</w:t>
      </w:r>
    </w:p>
    <w:p>
      <w:r>
        <w:pict>
          <v:rect style="width:0;height:1.5pt" o:hralign="center" o:hrstd="t" o:hr="t"/>
        </w:pict>
      </w:r>
    </w:p>
    <w:bookmarkEnd w:id="28"/>
    <w:bookmarkStart w:id="29" w:name="era-vi-executive-corpus-author-years-20"/>
    <w:p>
      <w:pPr>
        <w:pStyle w:val="Heading2"/>
      </w:pPr>
      <w:r>
        <w:t xml:space="preserve">Era VI — Executive &amp; corpus author (years 20+)</w:t>
      </w:r>
    </w:p>
    <w:p>
      <w:pPr>
        <w:pStyle w:val="FirstParagraph"/>
      </w:pPr>
      <w:r>
        <w:rPr>
          <w:b/>
          <w:bCs/>
        </w:rPr>
        <w:t xml:space="preserve">Identity:</w:t>
      </w:r>
      <w:r>
        <w:t xml:space="preserve"> </w:t>
      </w:r>
      <w:r>
        <w:t xml:space="preserve">stewarding the field. The corpus author and executive researcher take responsibility for the discipline itself — deciding which questions matter, writing the doctrine the next generation will learn, and holding the field’s integrity.</w:t>
      </w:r>
    </w:p>
    <w:p>
      <w:pPr>
        <w:pStyle w:val="BodyText"/>
      </w:pPr>
      <w:r>
        <w:rPr>
          <w:b/>
          <w:bCs/>
        </w:rPr>
        <w:t xml:space="preserve">What to study.</w:t>
      </w:r>
      <w:r>
        <w:t xml:space="preserve"> </w:t>
      </w:r>
      <w:r>
        <w:t xml:space="preserve">The post-doctoral fellowship’s full contract (post-doctoral-fellowship.md): owning a research thread on the agenda, cross-disciplinary research (pWin calibration, game theory, decision science), and the corpus authorship and curation discipline. The refresh-and-recertification cadence is now the author’s own calendar.</w:t>
      </w:r>
    </w:p>
    <w:p>
      <w:pPr>
        <w:pStyle w:val="BodyText"/>
      </w:pPr>
      <w:r>
        <w:rPr>
          <w:b/>
          <w:bCs/>
        </w:rPr>
        <w:t xml:space="preserve">What to practice.</w:t>
      </w:r>
      <w:r>
        <w:t xml:space="preserve"> </w:t>
      </w:r>
      <w:r>
        <w:rPr>
          <w:b/>
          <w:bCs/>
        </w:rPr>
        <w:t xml:space="preserve">Corpus authorship</w:t>
      </w:r>
      <w:r>
        <w:t xml:space="preserve">: writing and curating doctrine in the DNA corpus — concept first, then machine-side encoding — and keeping the human and machine renderings in lockstep.</w:t>
      </w:r>
      <w:r>
        <w:t xml:space="preserve"> </w:t>
      </w:r>
      <w:r>
        <w:rPr>
          <w:b/>
          <w:bCs/>
        </w:rPr>
        <w:t xml:space="preserve">Research</w:t>
      </w:r>
      <w:r>
        <w:t xml:space="preserve">: designing and executing the studies the field’s open questions need.</w:t>
      </w:r>
      <w:r>
        <w:t xml:space="preserve"> </w:t>
      </w:r>
      <w:r>
        <w:rPr>
          <w:b/>
          <w:bCs/>
        </w:rPr>
        <w:t xml:space="preserve">Executive governance</w:t>
      </w:r>
      <w:r>
        <w:t xml:space="preserve">: serving on the program’s editorial board, setting the research agenda, and chairing the annual symposium’s retrofit gate.</w:t>
      </w:r>
    </w:p>
    <w:p>
      <w:pPr>
        <w:pStyle w:val="BodyText"/>
      </w:pPr>
      <w:r>
        <w:rPr>
          <w:b/>
          <w:bCs/>
        </w:rPr>
        <w:t xml:space="preserve">What to give back.</w:t>
      </w:r>
      <w:r>
        <w:t xml:space="preserve"> </w:t>
      </w:r>
      <w:r>
        <w:t xml:space="preserve">Everything. The corpus author leaves the discipline better than they found it: authored doctrine, a curated corpus, a thread of the research agenda advanced, and a cohort of researchers and practitioners who will carry it forward. This is the cosmology loop made personal — a Won-World re-seeding Discovery, in the form of a career.</w:t>
      </w:r>
    </w:p>
    <w:p>
      <w:pPr>
        <w:pStyle w:val="BodyText"/>
      </w:pPr>
      <w:r>
        <w:rPr>
          <w:b/>
          <w:bCs/>
        </w:rPr>
        <w:t xml:space="preserve">Launchpad mapping.</w:t>
      </w:r>
      <w:r>
        <w:t xml:space="preserve"> </w:t>
      </w:r>
      <w:r>
        <w:t xml:space="preserve">The Ascension (executives); The Transcendence (stewardship).</w:t>
      </w:r>
    </w:p>
    <w:p>
      <w:r>
        <w:pict>
          <v:rect style="width:0;height:1.5pt" o:hralign="center" o:hrstd="t" o:hr="t"/>
        </w:pict>
      </w:r>
    </w:p>
    <w:bookmarkEnd w:id="29"/>
    <w:bookmarkStart w:id="30" w:name="cross-era-threads"/>
    <w:p>
      <w:pPr>
        <w:pStyle w:val="Heading2"/>
      </w:pPr>
      <w:r>
        <w:t xml:space="preserve">Cross-era threads</w:t>
      </w:r>
    </w:p>
    <w:p>
      <w:pPr>
        <w:pStyle w:val="FirstParagraph"/>
      </w:pPr>
      <w:r>
        <w:t xml:space="preserve">Five threads run through every era, at rising altitude: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Thread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it deepens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pipeline</w:t>
            </w:r>
            <w:r>
              <w:t xml:space="preserve"> </w:t>
            </w:r>
            <w:r>
              <w:t xml:space="preserve">(doctrine/03)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entrant memorizes it → apprentice runs it → master designs it → steward extends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score</w:t>
            </w:r>
            <w:r>
              <w:t xml:space="preserve"> </w:t>
            </w:r>
            <w:r>
              <w:t xml:space="preserve">(doctrine/05)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entrant computes it → apprentice defends it → master governs it → corpus author tests 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ORBITAL</w:t>
            </w:r>
            <w:r>
              <w:t xml:space="preserve"> </w:t>
            </w:r>
            <w:r>
              <w:t xml:space="preserve">(doctrine/06)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entrant builds one → apprentice structures a firm around them → master portfolios them → steward encodes the mapping.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research agenda</w:t>
            </w:r>
            <w:r>
              <w:t xml:space="preserve"> </w:t>
            </w:r>
            <w:r>
              <w:t xml:space="preserve">(modules/doctoral/research-agenda.md)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entrant ignores it → apprentice reads it → journeyman contributes data → corpus author owns a thread.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refresh</w:t>
            </w:r>
            <w:r>
              <w:t xml:space="preserve"> </w:t>
            </w:r>
            <w:r>
              <w:t xml:space="preserve">(refresh-and-recertification.md)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era re-grounds annually; every era’s debriefs feed the retrofits the next era learns from.</w:t>
            </w:r>
          </w:p>
        </w:tc>
      </w:tr>
    </w:tbl>
    <w:bookmarkEnd w:id="30"/>
    <w:bookmarkStart w:id="31" w:name="reading-the-roadmap-honestly"/>
    <w:p>
      <w:pPr>
        <w:pStyle w:val="Heading2"/>
      </w:pPr>
      <w:r>
        <w:t xml:space="preserve">Reading the roadmap honestly</w:t>
      </w:r>
    </w:p>
    <w:p>
      <w:pPr>
        <w:pStyle w:val="FirstParagraph"/>
      </w:pPr>
      <w:r>
        <w:t xml:space="preserve">Three honest notes before a learner takes this roadmap too literally.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Enter anywhere.</w:t>
      </w:r>
      <w:r>
        <w:t xml:space="preserve"> </w:t>
      </w:r>
      <w:r>
        <w:t xml:space="preserve">A 50-year-old professional does not start in Era I; they enter at the era that matches their experience, through the placement guide (guides/onboarding-and-placement.md) and the Ignition Legacy Track. The roadmap is a ladder of</w:t>
      </w:r>
      <w:r>
        <w:t xml:space="preserve"> </w:t>
      </w:r>
      <w:r>
        <w:rPr>
          <w:i/>
          <w:iCs/>
        </w:rPr>
        <w:t xml:space="preserve">identity</w:t>
      </w:r>
      <w:r>
        <w:t xml:space="preserve">, not a calendar of</w:t>
      </w:r>
      <w:r>
        <w:t xml:space="preserve"> </w:t>
      </w:r>
      <w:r>
        <w:rPr>
          <w:i/>
          <w:iCs/>
        </w:rPr>
        <w:t xml:space="preserve">age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Eras can be stretched or compressed.</w:t>
      </w:r>
      <w:r>
        <w:t xml:space="preserve"> </w:t>
      </w:r>
      <w:r>
        <w:t xml:space="preserve">A full-time student moves faster; a working professional may spend a decade in Era III. The roadmap’s years are a reference shape, not a requirement.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eras are not doors that close.</w:t>
      </w:r>
      <w:r>
        <w:t xml:space="preserve"> </w:t>
      </w:r>
      <w:r>
        <w:t xml:space="preserve">A master may return to study the doctoral tier; a corpus author may re-enter the studio. The forever-learning promise is that the door always stays open — and the discipline always has a next thing worth studying.</w:t>
      </w:r>
    </w:p>
    <w:bookmarkEnd w:id="31"/>
    <w:bookmarkStart w:id="32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2"/>
        </w:numPr>
      </w:pPr>
      <w:r>
        <w:t xml:space="preserve">Which era are you in today, and what is the single most valuable thing to</w:t>
      </w:r>
      <w:r>
        <w:t xml:space="preserve"> </w:t>
      </w:r>
      <w:r>
        <w:rPr>
          <w:i/>
          <w:iCs/>
        </w:rPr>
        <w:t xml:space="preserve">practice</w:t>
      </w:r>
      <w:r>
        <w:t xml:space="preserve"> </w:t>
      </w:r>
      <w:r>
        <w:t xml:space="preserve">in that era?</w:t>
      </w:r>
    </w:p>
    <w:p>
      <w:pPr>
        <w:pStyle w:val="Compact"/>
        <w:numPr>
          <w:ilvl w:val="0"/>
          <w:numId w:val="1002"/>
        </w:numPr>
      </w:pPr>
      <w:r>
        <w:t xml:space="preserve">What is the difference between the apprentice’s contribution (honest predictions) and the mentor’s contribution (raising people)?</w:t>
      </w:r>
    </w:p>
    <w:p>
      <w:pPr>
        <w:pStyle w:val="Compact"/>
        <w:numPr>
          <w:ilvl w:val="0"/>
          <w:numId w:val="1002"/>
        </w:numPr>
      </w:pPr>
      <w:r>
        <w:t xml:space="preserve">Why must the corpus author write the</w:t>
      </w:r>
      <w:r>
        <w:t xml:space="preserve"> </w:t>
      </w:r>
      <w:r>
        <w:rPr>
          <w:i/>
          <w:iCs/>
        </w:rPr>
        <w:t xml:space="preserve">concept</w:t>
      </w:r>
      <w:r>
        <w:t xml:space="preserve"> </w:t>
      </w:r>
      <w:r>
        <w:t xml:space="preserve">before the machine-side</w:t>
      </w:r>
      <w:r>
        <w:t xml:space="preserve"> </w:t>
      </w:r>
      <w:r>
        <w:rPr>
          <w:i/>
          <w:iCs/>
        </w:rPr>
        <w:t xml:space="preserve">encoding</w:t>
      </w:r>
      <w:r>
        <w:t xml:space="preserve"> </w:t>
      </w:r>
      <w:r>
        <w:t xml:space="preserve">— and which thread makes that possible?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README.md" TargetMode="External"/><Relationship Id="rId7" Type="http://schemas.openxmlformats.org/officeDocument/2006/relationships/footnotes" Target="footnotes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../course/forever-learning-program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customXml" Target="../customXml/item2.xml"/><Relationship Id="rId5" Type="http://schemas.openxmlformats.org/officeDocument/2006/relationships/fontTable" Target="fontTable.xml"/><Relationship Id="rId23" Type="http://schemas.openxmlformats.org/officeDocument/2006/relationships/customXml" Target="../customXml/item1.xml"/><Relationship Id="rId4" Type="http://schemas.openxmlformats.org/officeDocument/2006/relationships/webSettings" Target="webSettings.xml"/><Relationship Id="rId22" Type="http://schemas.openxmlformats.org/officeDocument/2006/relationships/hyperlink" Target="../../guides/onboarding-and-placement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../course/forever-learning-program.md" TargetMode="External" /><Relationship Type="http://schemas.openxmlformats.org/officeDocument/2006/relationships/hyperlink" Id="rId22" Target="../../guides/onboarding-and-placement.md" TargetMode="External" /><Relationship Type="http://schemas.openxmlformats.org/officeDocument/2006/relationships/hyperlink" Id="rId21" Target="READM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11D7EE7-C843-48C6-81C0-E97B74EF2ADA}"/>
</file>

<file path=customXml/itemProps2.xml><?xml version="1.0" encoding="utf-8"?>
<ds:datastoreItem xmlns:ds="http://schemas.openxmlformats.org/officeDocument/2006/customXml" ds:itemID="{8D410C64-507C-45A7-BAD8-CD8AF96DE01D}"/>
</file>

<file path=customXml/itemProps3.xml><?xml version="1.0" encoding="utf-8"?>
<ds:datastoreItem xmlns:ds="http://schemas.openxmlformats.org/officeDocument/2006/customXml" ds:itemID="{1243E94E-5A61-4AB3-9D7F-F50FB16F73B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2026-08-05T15:37:37Z</dcterms:created>
  <dcterms:modified xsi:type="dcterms:W3CDTF">2026-08-05T15:37:37Z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