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182594f761f94bd1c4feaba6b3d34f3ccf1506"/>
    <w:p>
      <w:pPr>
        <w:pStyle w:val="Heading1"/>
      </w:pPr>
      <w:r>
        <w:t xml:space="preserve">Refresh and Recertification — How the Curriculum Stays Current</w:t>
      </w:r>
    </w:p>
    <w:p>
      <w:pPr>
        <w:pStyle w:val="FirstParagraph"/>
      </w:pPr>
      <w:r>
        <w:rPr>
          <w:i/>
          <w:iCs/>
        </w:rPr>
        <w:t xml:space="preserve">The doctrine is durable; the canon is not. The FAR is amended, Shipley publishes new editions, the DNA corpus ships new versions, and every debrief teaches a lesson the previous curriculum did not contain. This module is the discipline’s own learn stage, applied to the discipline itself.</w:t>
      </w:r>
    </w:p>
    <w:p>
      <w:pPr>
        <w:pStyle w:val="BodyText"/>
      </w:pPr>
      <w:r>
        <w:rPr>
          <w:b/>
          <w:bCs/>
        </w:rPr>
        <w:t xml:space="preserve">Level:</w:t>
      </w:r>
      <w:r>
        <w:t xml:space="preserve"> </w:t>
      </w:r>
      <w:r>
        <w:t xml:space="preserve">instructor + forever-learning ·</w:t>
      </w:r>
      <w:r>
        <w:t xml:space="preserve"> </w:t>
      </w:r>
      <w:r>
        <w:rPr>
          <w:b/>
          <w:bCs/>
        </w:rPr>
        <w:t xml:space="preserve">Companions:</w:t>
      </w:r>
      <w:r>
        <w:t xml:space="preserve"> </w:t>
      </w:r>
      <w:hyperlink r:id="rId20">
        <w:r>
          <w:rPr>
            <w:rStyle w:val="Hyperlink"/>
          </w:rPr>
          <w:t xml:space="preserve">course/forever-learning-program.md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modules/forever-learning/README.md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align/concept-to-system-map.md</w:t>
        </w:r>
      </w:hyperlink>
      <w:r>
        <w:t xml:space="preserve">.</w:t>
      </w:r>
    </w:p>
    <w:p>
      <w:pPr>
        <w:pStyle w:val="BodyText"/>
      </w:pPr>
      <w:r>
        <w:t xml:space="preserve">This module is the</w:t>
      </w:r>
      <w:r>
        <w:t xml:space="preserve"> </w:t>
      </w:r>
      <w:r>
        <w:rPr>
          <w:b/>
          <w:bCs/>
        </w:rPr>
        <w:t xml:space="preserve">refresh machinery</w:t>
      </w:r>
      <w:r>
        <w:t xml:space="preserve"> </w:t>
      </w:r>
      <w:r>
        <w:t xml:space="preserve">that keeps the forever-learning promise real. It answers one question:</w:t>
      </w:r>
      <w:r>
        <w:t xml:space="preserve"> </w:t>
      </w:r>
      <w:r>
        <w:rPr>
          <w:i/>
          <w:iCs/>
        </w:rPr>
        <w:t xml:space="preserve">how does a curriculum that refuses to rewrite its doctrine stay current for twenty years?</w:t>
      </w:r>
      <w:r>
        <w:t xml:space="preserve"> </w:t>
      </w:r>
      <w:r>
        <w:t xml:space="preserve">The answer has three parts — the two-layer rule that protects the doctrine, the refresh cadence that tracks everything else, and the recertification that keeps every learner and instructor re-grounded on that cadence.</w:t>
      </w:r>
    </w:p>
    <w:bookmarkStart w:id="23" w:name="the-refresh-problem"/>
    <w:p>
      <w:pPr>
        <w:pStyle w:val="Heading2"/>
      </w:pPr>
      <w:r>
        <w:t xml:space="preserve">1. The refresh problem</w:t>
      </w:r>
    </w:p>
    <w:p>
      <w:pPr>
        <w:pStyle w:val="FirstParagraph"/>
      </w:pPr>
      <w:r>
        <w:t xml:space="preserve">The curriculum lives on a durable core and a changing surface: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Layer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Durable or changing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happens to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doctrine</w:t>
            </w:r>
            <w:r>
              <w:t xml:space="preserve"> </w:t>
            </w:r>
            <w:r>
              <w:t xml:space="preserve">(doctrine/01–10)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Durable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concepts — money, pipeline, gates, ORBITAL, lifecycle — do not change. They are not rewritten to chase the stack (doctrine/08).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canon</w:t>
            </w:r>
            <w:r>
              <w:t xml:space="preserve"> </w:t>
            </w:r>
            <w:r>
              <w:t xml:space="preserve">(literacy/)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Changing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FAR/DFARS parts, the APMP BOK, Shipley’s editions, the certification landscape. These must be tracked as they change.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machine corpus</w:t>
            </w:r>
            <w:r>
              <w:t xml:space="preserve"> </w:t>
            </w:r>
            <w:r>
              <w:t xml:space="preserve">(DNA)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Versioned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Rules, formulas, playbooks, prompts ship under version numbers. The human rendering must stay in lockstep with them —</w:t>
            </w:r>
            <w:r>
              <w:t xml:space="preserve"> </w:t>
            </w:r>
            <w:r>
              <w:t xml:space="preserve">“</w:t>
            </w:r>
            <w:r>
              <w:t xml:space="preserve">one doctrine, two renderings.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outcome record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Ever-growing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debrief, protest, and award adds a data point. Lessons learned must be retrofitted into the tiers where they belong.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modules and courses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Refreshed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Teaching plans are re-checked against the doctrine and the canon; examples and cases are updated; the tiers are re-rendered.</w:t>
            </w:r>
          </w:p>
        </w:tc>
      </w:tr>
    </w:tbl>
    <w:p>
      <w:pPr>
        <w:pStyle w:val="BodyText"/>
      </w:pPr>
      <w:r>
        <w:t xml:space="preserve">The discipline’s mistake would be to treat the whole curriculum as durable, or the whole thing as changeable. The first makes the curriculum go stale; the second makes it unteachable. The refresh machinery exists to get the</w:t>
      </w:r>
      <w:r>
        <w:t xml:space="preserve"> </w:t>
      </w:r>
      <w:r>
        <w:rPr>
          <w:b/>
          <w:bCs/>
        </w:rPr>
        <w:t xml:space="preserve">layering right</w:t>
      </w:r>
      <w:r>
        <w:t xml:space="preserve">: the doctrine stays still, and everything else is kept honest against it.</w:t>
      </w:r>
    </w:p>
    <w:bookmarkEnd w:id="23"/>
    <w:bookmarkStart w:id="24" w:name="the-two-layer-rule-protects-the-doctrine"/>
    <w:p>
      <w:pPr>
        <w:pStyle w:val="Heading2"/>
      </w:pPr>
      <w:r>
        <w:t xml:space="preserve">2. The two-layer rule protects the doctrine</w:t>
      </w:r>
    </w:p>
    <w:p>
      <w:pPr>
        <w:pStyle w:val="FirstParagraph"/>
      </w:pPr>
      <w:r>
        <w:t xml:space="preserve">The refresh cadence is only safe because the curriculum enforces the two-layer rule from the repo’s own operating instructions (CLAUDE.md):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doctrine never changes to chase the stack.</w:t>
      </w:r>
      <w:r>
        <w:t xml:space="preserve"> </w:t>
      </w:r>
      <w:r>
        <w:t xml:space="preserve">When a portal, an AI capability, or a product changes, the doctrine is not rewritten. The change belongs in the alignment map (</w:t>
      </w:r>
      <w:r>
        <w:rPr>
          <w:rStyle w:val="VerbatimChar"/>
        </w:rPr>
        <w:t xml:space="preserve">align/concept-to-system-map.md</w:t>
      </w:r>
      <w:r>
        <w:t xml:space="preserve">), which maps each durable concept to its current machine-side encoding — the</w:t>
      </w:r>
      <w:r>
        <w:t xml:space="preserve"> </w:t>
      </w:r>
      <w:r>
        <w:rPr>
          <w:i/>
          <w:iCs/>
        </w:rPr>
        <w:t xml:space="preserve">stack column</w:t>
      </w:r>
      <w:r>
        <w:t xml:space="preserve"> </w:t>
      </w:r>
      <w:r>
        <w:t xml:space="preserve">changes, the</w:t>
      </w:r>
      <w:r>
        <w:t xml:space="preserve"> </w:t>
      </w:r>
      <w:r>
        <w:rPr>
          <w:i/>
          <w:iCs/>
        </w:rPr>
        <w:t xml:space="preserve">concept column</w:t>
      </w:r>
      <w:r>
        <w:t xml:space="preserve"> </w:t>
      </w:r>
      <w:r>
        <w:t xml:space="preserve">never does.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canon layer is where regulation lives.</w:t>
      </w:r>
      <w:r>
        <w:t xml:space="preserve"> </w:t>
      </w:r>
      <w:r>
        <w:t xml:space="preserve">Government facts and the rulebook’s current state live in the</w:t>
      </w:r>
      <w:r>
        <w:t xml:space="preserve"> </w:t>
      </w:r>
      <w:r>
        <w:rPr>
          <w:rStyle w:val="VerbatimChar"/>
        </w:rPr>
        <w:t xml:space="preserve">literacy/</w:t>
      </w:r>
      <w:r>
        <w:t xml:space="preserve"> </w:t>
      </w:r>
      <w:r>
        <w:t xml:space="preserve">layer, which is deliberately the layer that</w:t>
      </w:r>
      <w:r>
        <w:t xml:space="preserve"> </w:t>
      </w:r>
      <w:r>
        <w:rPr>
          <w:i/>
          <w:iCs/>
        </w:rPr>
        <w:t xml:space="preserve">does</w:t>
      </w:r>
      <w:r>
        <w:t xml:space="preserve"> </w:t>
      </w:r>
      <w:r>
        <w:t xml:space="preserve">track the FAR, the APMP BOK, and the certification landscape. When a fact changes, the literacy layer is updated — not the doctrine.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renderings stay in lockstep.</w:t>
      </w:r>
      <w:r>
        <w:t xml:space="preserve"> </w:t>
      </w:r>
      <w:r>
        <w:t xml:space="preserve">Every DNA version bump (the machine side) triggers a re-sync check on the human side: do the concept-level lessons still match what the machine encodes? The refresh cadence is what makes</w:t>
      </w:r>
      <w:r>
        <w:t xml:space="preserve"> </w:t>
      </w:r>
      <w:r>
        <w:t xml:space="preserve">“</w:t>
      </w:r>
      <w:r>
        <w:t xml:space="preserve">one doctrine, two renderings</w:t>
      </w:r>
      <w:r>
        <w:t xml:space="preserve">”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maintained</w:t>
      </w:r>
      <w:r>
        <w:t xml:space="preserve"> </w:t>
      </w:r>
      <w:r>
        <w:t xml:space="preserve">claim rather than a hope.</w:t>
      </w:r>
    </w:p>
    <w:bookmarkEnd w:id="24"/>
    <w:bookmarkStart w:id="28" w:name="the-refresh-cadence"/>
    <w:p>
      <w:pPr>
        <w:pStyle w:val="Heading2"/>
      </w:pPr>
      <w:r>
        <w:t xml:space="preserve">3. The refresh cadence</w:t>
      </w:r>
    </w:p>
    <w:p>
      <w:pPr>
        <w:pStyle w:val="FirstParagraph"/>
      </w:pPr>
      <w:r>
        <w:t xml:space="preserve">The cadence is three engines running on different clocks:</w:t>
      </w:r>
    </w:p>
    <w:bookmarkStart w:id="25" w:name="X0c34609e1825b00b49e465c99ed649709ab1cf6"/>
    <w:p>
      <w:pPr>
        <w:pStyle w:val="Heading3"/>
      </w:pPr>
      <w:r>
        <w:t xml:space="preserve">Engine 1 — Annual recertification (the year clock)</w:t>
      </w:r>
    </w:p>
    <w:p>
      <w:pPr>
        <w:pStyle w:val="FirstParagraph"/>
      </w:pPr>
      <w:r>
        <w:t xml:space="preserve">Every learner and every instructor</w:t>
      </w:r>
      <w:r>
        <w:t xml:space="preserve"> </w:t>
      </w:r>
      <w:r>
        <w:rPr>
          <w:b/>
          <w:bCs/>
        </w:rPr>
        <w:t xml:space="preserve">re-grounds once a year</w:t>
      </w:r>
      <w:r>
        <w:t xml:space="preserve">. Recertification is a re-reading, not a re-taking — it is not a punishment and not a gate that fails. It is the discipline’s equivalent of a pilot’s currency check: a structured re-acquaintance with what changed and a re-verification that the durable core still organizes it.</w:t>
      </w:r>
    </w:p>
    <w:p>
      <w:pPr>
        <w:pStyle w:val="BodyText"/>
      </w:pPr>
      <w:r>
        <w:t xml:space="preserve">The annual recertification has three standing deltas: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rulebook delta.</w:t>
      </w:r>
      <w:r>
        <w:t xml:space="preserve"> </w:t>
      </w:r>
      <w:r>
        <w:t xml:space="preserve">What changed in the FAR, DFARS, DCAA posture, CAS coverage, and TINA thresholds over the past year — read as a strategic signal, not a compliance briefing.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canon delta.</w:t>
      </w:r>
      <w:r>
        <w:t xml:space="preserve"> </w:t>
      </w:r>
      <w:r>
        <w:t xml:space="preserve">What Shipley, the APMP, and the certification landscape published or revised — read so the professional’s vocabulary stays current.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practice delta.</w:t>
      </w:r>
      <w:r>
        <w:t xml:space="preserve"> </w:t>
      </w:r>
      <w:r>
        <w:t xml:space="preserve">What the outcome record and the debrief-retrofits taught over the past year — read so the professional’s judgment absorbs the field’s new lessons.</w:t>
      </w:r>
    </w:p>
    <w:p>
      <w:pPr>
        <w:pStyle w:val="FirstParagraph"/>
      </w:pPr>
      <w:r>
        <w:t xml:space="preserve">For an instructor or program owner, recertification adds a fourth delta:</w:t>
      </w:r>
      <w:r>
        <w:t xml:space="preserve"> </w:t>
      </w:r>
      <w:r>
        <w:rPr>
          <w:b/>
          <w:bCs/>
        </w:rPr>
        <w:t xml:space="preserve">the curriculum delta</w:t>
      </w:r>
      <w:r>
        <w:t xml:space="preserve"> </w:t>
      </w:r>
      <w:r>
        <w:t xml:space="preserve">— what was retrofitted, re-rendered, or re-versioned, and whether the courses they teach reflect it.</w:t>
      </w:r>
    </w:p>
    <w:bookmarkEnd w:id="25"/>
    <w:bookmarkStart w:id="26" w:name="X5a6b00579583c24d22b5f7bb76df1f394109181"/>
    <w:p>
      <w:pPr>
        <w:pStyle w:val="Heading3"/>
      </w:pPr>
      <w:r>
        <w:t xml:space="preserve">Engine 2 — DNA-version-aware updates (the version clock)</w:t>
      </w:r>
    </w:p>
    <w:p>
      <w:pPr>
        <w:pStyle w:val="FirstParagraph"/>
      </w:pPr>
      <w:r>
        <w:t xml:space="preserve">The machine corpus ships under version numbers. Every version bump triggers a</w:t>
      </w:r>
      <w:r>
        <w:t xml:space="preserve"> </w:t>
      </w:r>
      <w:r>
        <w:rPr>
          <w:b/>
          <w:bCs/>
        </w:rPr>
        <w:t xml:space="preserve">human-side re-sync</w:t>
      </w:r>
      <w:r>
        <w:t xml:space="preserve">: a comparison of the machine encoding against the human rendering, concept by concept, using the alignment map as the key.</w:t>
      </w:r>
    </w:p>
    <w:p>
      <w:pPr>
        <w:pStyle w:val="BodyText"/>
      </w:pPr>
      <w:r>
        <w:t xml:space="preserve">The re-sync answers three questions per concept: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Did the concept change?</w:t>
      </w:r>
      <w:r>
        <w:t xml:space="preserve"> </w:t>
      </w:r>
      <w:r>
        <w:t xml:space="preserve">It should not — if a version bump silently alters a durable concept, that is a defect to escalate, not an update to absorb.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Did the encoding improve?</w:t>
      </w:r>
      <w:r>
        <w:t xml:space="preserve"> </w:t>
      </w:r>
      <w:r>
        <w:t xml:space="preserve">If a rule, formula, or playbook got sharper, the human rendering should reflect the improved</w:t>
      </w:r>
      <w:r>
        <w:t xml:space="preserve"> </w:t>
      </w:r>
      <w:r>
        <w:rPr>
          <w:i/>
          <w:iCs/>
        </w:rPr>
        <w:t xml:space="preserve">concept-level lesson</w:t>
      </w:r>
      <w:r>
        <w:t xml:space="preserve"> </w:t>
      </w:r>
      <w:r>
        <w:t xml:space="preserve">where the course teaches 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Does the map still point?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concept_system_map</w:t>
      </w:r>
      <w:r>
        <w:t xml:space="preserve"> </w:t>
      </w:r>
      <w:r>
        <w:t xml:space="preserve">in the manifest and the alignment map’s stack column must be updated so the next reader finds the current artifact.</w:t>
      </w:r>
    </w:p>
    <w:p>
      <w:pPr>
        <w:pStyle w:val="FirstParagraph"/>
      </w:pPr>
      <w:r>
        <w:t xml:space="preserve">The DNA-version-aware update is the mechanism that keeps the human curriculum from drifting from the machine doctrine — the same drift the wider ecosystem treats as a defect (the dashboard’s standing order: never let it drift).</w:t>
      </w:r>
    </w:p>
    <w:bookmarkEnd w:id="26"/>
    <w:bookmarkStart w:id="27" w:name="Xaa99c9b6fdda2ab423eea84b470923e27958d85"/>
    <w:p>
      <w:pPr>
        <w:pStyle w:val="Heading3"/>
      </w:pPr>
      <w:r>
        <w:t xml:space="preserve">Engine 3 — Debrief-retrofit (the event clock)</w:t>
      </w:r>
    </w:p>
    <w:p>
      <w:pPr>
        <w:pStyle w:val="FirstParagraph"/>
      </w:pPr>
      <w:r>
        <w:t xml:space="preserve">The most important source of new lessons is the</w:t>
      </w:r>
      <w:r>
        <w:t xml:space="preserve"> </w:t>
      </w:r>
      <w:r>
        <w:rPr>
          <w:b/>
          <w:bCs/>
        </w:rPr>
        <w:t xml:space="preserve">outcome record</w:t>
      </w:r>
      <w:r>
        <w:t xml:space="preserve"> </w:t>
      </w:r>
      <w:r>
        <w:t xml:space="preserve">— the debriefs, protests, and lessons-learned reviews the field produces continuously. The debrief-retrofit is how a single lost pursuit teaches the whole curriculum:</w:t>
      </w:r>
    </w:p>
    <w:p>
      <w:pPr>
        <w:pStyle w:val="SourceCode"/>
      </w:pPr>
      <w:r>
        <w:rPr>
          <w:rStyle w:val="VerbatimChar"/>
        </w:rPr>
        <w:t xml:space="preserve">a real loss ──→ the debrief mined for the lesson</w:t>
      </w:r>
      <w:r>
        <w:br/>
      </w:r>
      <w:r>
        <w:rPr>
          <w:rStyle w:val="VerbatimChar"/>
        </w:rPr>
        <w:t xml:space="preserve">   │                │</w:t>
      </w:r>
      <w:r>
        <w:br/>
      </w:r>
      <w:r>
        <w:rPr>
          <w:rStyle w:val="VerbatimChar"/>
        </w:rPr>
        <w:t xml:space="preserve">   │                └──→ does the doctrine already teach this? ──yes──→ the lesson is confirmation, not retrofit</w:t>
      </w:r>
      <w:r>
        <w:br/>
      </w:r>
      <w:r>
        <w:rPr>
          <w:rStyle w:val="VerbatimChar"/>
        </w:rPr>
        <w:t xml:space="preserve">   │                             │</w:t>
      </w:r>
      <w:r>
        <w:br/>
      </w:r>
      <w:r>
        <w:rPr>
          <w:rStyle w:val="VerbatimChar"/>
        </w:rPr>
        <w:t xml:space="preserve">   │                           no (or not sharply)</w:t>
      </w:r>
      <w:r>
        <w:br/>
      </w:r>
      <w:r>
        <w:rPr>
          <w:rStyle w:val="VerbatimChar"/>
        </w:rPr>
        <w:t xml:space="preserve">   │                             │</w:t>
      </w:r>
      <w:r>
        <w:br/>
      </w:r>
      <w:r>
        <w:rPr>
          <w:rStyle w:val="VerbatimChar"/>
        </w:rPr>
        <w:t xml:space="preserve">   └──→ the lesson drafted as a written, reviewed retrofit ──→ placed in the tier where it belongs ──→ re-rendered</w:t>
      </w:r>
    </w:p>
    <w:p>
      <w:pPr>
        <w:pStyle w:val="FirstParagraph"/>
      </w:pPr>
      <w:r>
        <w:t xml:space="preserve">The retrofit is a</w:t>
      </w:r>
      <w:r>
        <w:t xml:space="preserve"> </w:t>
      </w:r>
      <w:r>
        <w:rPr>
          <w:b/>
          <w:bCs/>
        </w:rPr>
        <w:t xml:space="preserve">gated change</w:t>
      </w:r>
      <w:r>
        <w:t xml:space="preserve"> </w:t>
      </w:r>
      <w:r>
        <w:t xml:space="preserve">(doctrine/04): it is drafted in writing, reviewed against the doctrine for consistency, and approved before it enters a tier. The annual symposium (alumni-community.md) is the standing gate for the year’s retrofits. This is the discipline’s learn stage applied to the curriculum itself — the curriculum literally learns from the market, the same way the cosmology loop promises the pursuit pipeline does.</w:t>
      </w:r>
    </w:p>
    <w:bookmarkEnd w:id="27"/>
    <w:bookmarkEnd w:id="28"/>
    <w:bookmarkStart w:id="29" w:name="Xd2f9b7aeed0fb6996b9eefd84c92b44245dbbe1"/>
    <w:p>
      <w:pPr>
        <w:pStyle w:val="Heading2"/>
      </w:pPr>
      <w:r>
        <w:t xml:space="preserve">4. Recertification for learners and instructors</w:t>
      </w:r>
    </w:p>
    <w:p>
      <w:pPr>
        <w:pStyle w:val="FirstParagraph"/>
      </w:pPr>
      <w:r>
        <w:t xml:space="preserve">Recertification means different work for different members of the community: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recertification 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Practicing professional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structured re-grounding on the three deltas, plus a re-read of one doctrine chapter at altitude (the one most relevant to their year’s work).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Alumni mentor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three deltas plus a re-verification of the practicum’s current teaching objects (the case library’s new entries).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Instructor / program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four deltas (add the curriculum delta) plus a review of every module they teach against the current canon and doctrine.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Post-doctoral fellow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research-agenda delta — what the field learned and what is now the open question — plus the corpus curation backlog.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Executive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regulatory-change watch’s year in review (executive-education.md), read at strategic altitude.</w:t>
            </w:r>
          </w:p>
        </w:tc>
      </w:tr>
    </w:tbl>
    <w:p>
      <w:pPr>
        <w:pStyle w:val="BodyText"/>
      </w:pPr>
      <w:r>
        <w:t xml:space="preserve">The annual review is a</w:t>
      </w:r>
      <w:r>
        <w:t xml:space="preserve"> </w:t>
      </w:r>
      <w:r>
        <w:rPr>
          <w:b/>
          <w:bCs/>
        </w:rPr>
        <w:t xml:space="preserve">gate with written criteria</w:t>
      </w:r>
      <w:r>
        <w:t xml:space="preserve"> </w:t>
      </w:r>
      <w:r>
        <w:t xml:space="preserve">— the discipline’s own governance applied to the community. Its output is never a grade; it is a</w:t>
      </w:r>
      <w:r>
        <w:t xml:space="preserve"> </w:t>
      </w:r>
      <w:r>
        <w:rPr>
          <w:i/>
          <w:iCs/>
        </w:rPr>
        <w:t xml:space="preserve">currency status</w:t>
      </w:r>
      <w:r>
        <w:t xml:space="preserve">: the learner and the instructor have re-grounded, the deltas are absorbed, and the discipline is trusted to keep teaching.</w:t>
      </w:r>
    </w:p>
    <w:bookmarkEnd w:id="29"/>
    <w:bookmarkStart w:id="30" w:name="ownership-and-honesty"/>
    <w:p>
      <w:pPr>
        <w:pStyle w:val="Heading2"/>
      </w:pPr>
      <w:r>
        <w:t xml:space="preserve">5. Ownership and honesty</w:t>
      </w:r>
    </w:p>
    <w:p>
      <w:pPr>
        <w:pStyle w:val="FirstParagraph"/>
      </w:pPr>
      <w:r>
        <w:t xml:space="preserve">The refresh machinery has named owners, because a cadence without an owner is a wish: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curriculum delta</w:t>
      </w:r>
      <w:r>
        <w:t xml:space="preserve"> </w:t>
      </w:r>
      <w:r>
        <w:t xml:space="preserve">is owned by the program’s editorial board (the instructor side of the program overview).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DNA re-sync</w:t>
      </w:r>
      <w:r>
        <w:t xml:space="preserve"> </w:t>
      </w:r>
      <w:r>
        <w:t xml:space="preserve">is owned jointly with the machine side — the post-doctoral fellowship’s curation role is the human-side owner of the lockstep.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debrief-retrofit pipeline</w:t>
      </w:r>
      <w:r>
        <w:t xml:space="preserve"> </w:t>
      </w:r>
      <w:r>
        <w:t xml:space="preserve">is owned by the community: study groups and executive roundtables produce the candidate lessons, the symposium is the gate, and the editorial board ships them.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literacy layer</w:t>
      </w:r>
      <w:r>
        <w:t xml:space="preserve"> </w:t>
      </w:r>
      <w:r>
        <w:t xml:space="preserve">is owned by the program’s fact-checkers, under the literacy layer’s accuracy rule (literacy facts must be accurate; if not certain, state it generally).</w:t>
      </w:r>
    </w:p>
    <w:p>
      <w:pPr>
        <w:pStyle w:val="FirstParagraph"/>
      </w:pPr>
      <w:r>
        <w:t xml:space="preserve">And the whole machinery is governed by the curriculum’s honesty standards: no invented specifics, no fabricated evidence, no misattribution to real organizations. A retrofit is only as good as the debrief it came from, and a version bump is only as good as the integrity of the corpus it ships in.</w:t>
      </w:r>
    </w:p>
    <w:bookmarkEnd w:id="30"/>
    <w:bookmarkStart w:id="31" w:name="self-check"/>
    <w:p>
      <w:pPr>
        <w:pStyle w:val="Heading2"/>
      </w:pPr>
      <w:r>
        <w:t xml:space="preserve">Self-check</w:t>
      </w:r>
    </w:p>
    <w:p>
      <w:pPr>
        <w:pStyle w:val="Compact"/>
        <w:numPr>
          <w:ilvl w:val="0"/>
          <w:numId w:val="1005"/>
        </w:numPr>
      </w:pPr>
      <w:r>
        <w:t xml:space="preserve">Why is the refresh cadence</w:t>
      </w:r>
      <w:r>
        <w:t xml:space="preserve"> </w:t>
      </w:r>
      <w:r>
        <w:rPr>
          <w:i/>
          <w:iCs/>
        </w:rPr>
        <w:t xml:space="preserve">only safe</w:t>
      </w:r>
      <w:r>
        <w:t xml:space="preserve"> </w:t>
      </w:r>
      <w:r>
        <w:t xml:space="preserve">because of the two-layer rule — what would go wrong if the doctrine were treated as changeable?</w:t>
      </w:r>
    </w:p>
    <w:p>
      <w:pPr>
        <w:pStyle w:val="Compact"/>
        <w:numPr>
          <w:ilvl w:val="0"/>
          <w:numId w:val="1005"/>
        </w:numPr>
      </w:pPr>
      <w:r>
        <w:t xml:space="preserve">What are the three clocks of the refresh cadence, and which one does a debrief fire?</w:t>
      </w:r>
    </w:p>
    <w:p>
      <w:pPr>
        <w:pStyle w:val="Compact"/>
        <w:numPr>
          <w:ilvl w:val="0"/>
          <w:numId w:val="1005"/>
        </w:numPr>
      </w:pPr>
      <w:r>
        <w:t xml:space="preserve">What is the difference between a DNA-version</w:t>
      </w:r>
      <w:r>
        <w:t xml:space="preserve"> </w:t>
      </w:r>
      <w:r>
        <w:rPr>
          <w:i/>
          <w:iCs/>
        </w:rPr>
        <w:t xml:space="preserve">update</w:t>
      </w:r>
      <w:r>
        <w:t xml:space="preserve"> </w:t>
      </w:r>
      <w:r>
        <w:t xml:space="preserve">(which is absorbed) and a DNA-version change to a</w:t>
      </w:r>
      <w:r>
        <w:t xml:space="preserve"> </w:t>
      </w:r>
      <w:r>
        <w:rPr>
          <w:i/>
          <w:iCs/>
        </w:rPr>
        <w:t xml:space="preserve">durable concept</w:t>
      </w:r>
      <w:r>
        <w:t xml:space="preserve"> </w:t>
      </w:r>
      <w:r>
        <w:t xml:space="preserve">(which is a defect)?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README.md" TargetMode="External"/><Relationship Id="rId7" Type="http://schemas.openxmlformats.org/officeDocument/2006/relationships/footnotes" Target="footnotes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20" Type="http://schemas.openxmlformats.org/officeDocument/2006/relationships/hyperlink" Target="../../course/forever-learning-program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customXml" Target="../customXml/item2.xml"/><Relationship Id="rId5" Type="http://schemas.openxmlformats.org/officeDocument/2006/relationships/fontTable" Target="fontTable.xml"/><Relationship Id="rId23" Type="http://schemas.openxmlformats.org/officeDocument/2006/relationships/customXml" Target="../customXml/item1.xml"/><Relationship Id="rId4" Type="http://schemas.openxmlformats.org/officeDocument/2006/relationships/webSettings" Target="webSettings.xml"/><Relationship Id="rId22" Type="http://schemas.openxmlformats.org/officeDocument/2006/relationships/hyperlink" Target="../../align/concept-to-system-map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../../align/concept-to-system-map.md" TargetMode="External" /><Relationship Type="http://schemas.openxmlformats.org/officeDocument/2006/relationships/hyperlink" Id="rId20" Target="../../course/forever-learning-program.md" TargetMode="External" /><Relationship Type="http://schemas.openxmlformats.org/officeDocument/2006/relationships/hyperlink" Id="rId21" Target="READM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C864D38-4409-41E2-8E6F-972622FCF17B}"/>
</file>

<file path=customXml/itemProps2.xml><?xml version="1.0" encoding="utf-8"?>
<ds:datastoreItem xmlns:ds="http://schemas.openxmlformats.org/officeDocument/2006/customXml" ds:itemID="{0B668EEE-AB19-4FB0-9A36-81F99A5DCDF2}"/>
</file>

<file path=customXml/itemProps3.xml><?xml version="1.0" encoding="utf-8"?>
<ds:datastoreItem xmlns:ds="http://schemas.openxmlformats.org/officeDocument/2006/customXml" ds:itemID="{BC32921A-26AD-4270-86A1-EEB3C3B6491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2026-08-05T15:37:37Z</dcterms:created>
  <dcterms:modified xsi:type="dcterms:W3CDTF">2026-08-05T15:37:37Z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