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X06981b275028240a8abc43c58563c78b9e60680"/>
    <w:p>
      <w:pPr>
        <w:pStyle w:val="Heading1"/>
      </w:pPr>
      <w:r>
        <w:t xml:space="preserve">Alumni Community — The Lifetime Network of Practice</w:t>
      </w:r>
    </w:p>
    <w:p>
      <w:pPr>
        <w:pStyle w:val="FirstParagraph"/>
      </w:pPr>
      <w:r>
        <w:rPr>
          <w:i/>
          <w:iCs/>
        </w:rPr>
        <w:t xml:space="preserve">The pipeline’s cosmology loop says a Won-World re-seeds Discovery. The alumni community is that loop for people: every graduate who returns to teach re-seeds the next cohort — and the discipline compounds through its own people.</w:t>
      </w:r>
    </w:p>
    <w:p>
      <w:pPr>
        <w:pStyle w:val="BodyText"/>
      </w:pPr>
      <w:r>
        <w:rPr>
          <w:b/>
          <w:bCs/>
        </w:rPr>
        <w:t xml:space="preserve">Level:</w:t>
      </w:r>
      <w:r>
        <w:t xml:space="preserve"> </w:t>
      </w:r>
      <w:r>
        <w:t xml:space="preserve">alumni ·</w:t>
      </w:r>
      <w:r>
        <w:t xml:space="preserve"> </w:t>
      </w:r>
      <w:r>
        <w:rPr>
          <w:b/>
          <w:bCs/>
        </w:rPr>
        <w:t xml:space="preserve">Companions:</w:t>
      </w:r>
      <w:r>
        <w:t xml:space="preserve"> </w:t>
      </w:r>
      <w:hyperlink r:id="rId20">
        <w:r>
          <w:rPr>
            <w:rStyle w:val="Hyperlink"/>
          </w:rPr>
          <w:t xml:space="preserve">course/forever-learning-program.md</w:t>
        </w:r>
      </w:hyperlink>
      <w:r>
        <w:t xml:space="preserve">,</w:t>
      </w:r>
      <w:r>
        <w:t xml:space="preserve"> </w:t>
      </w:r>
      <w:hyperlink r:id="rId21">
        <w:r>
          <w:rPr>
            <w:rStyle w:val="Hyperlink"/>
          </w:rPr>
          <w:t xml:space="preserve">modules/forever-learning/README.md</w:t>
        </w:r>
      </w:hyperlink>
      <w:r>
        <w:t xml:space="preserve">,</w:t>
      </w:r>
      <w:r>
        <w:t xml:space="preserve"> </w:t>
      </w:r>
      <w:hyperlink r:id="rId22">
        <w:r>
          <w:rPr>
            <w:rStyle w:val="Hyperlink"/>
          </w:rPr>
          <w:t xml:space="preserve">modules/forever-learning/refresh-and-recertification.md</w:t>
        </w:r>
      </w:hyperlink>
      <w:r>
        <w:t xml:space="preserve">.</w:t>
      </w:r>
    </w:p>
    <w:p>
      <w:pPr>
        <w:pStyle w:val="BodyText"/>
      </w:pPr>
      <w:r>
        <w:t xml:space="preserve">This module is the</w:t>
      </w:r>
      <w:r>
        <w:t xml:space="preserve"> </w:t>
      </w:r>
      <w:r>
        <w:rPr>
          <w:b/>
          <w:bCs/>
        </w:rPr>
        <w:t xml:space="preserve">lifetime side</w:t>
      </w:r>
      <w:r>
        <w:t xml:space="preserve"> </w:t>
      </w:r>
      <w:r>
        <w:t xml:space="preserve">of the forever-learning tier — the standing community that a graduate joins when they complete any tier of the curriculum and never has to leave. It is built on a simple proposition: the curriculum’s most valuable asset is not its documents, it is its</w:t>
      </w:r>
      <w:r>
        <w:t xml:space="preserve"> </w:t>
      </w:r>
      <w:r>
        <w:rPr>
          <w:b/>
          <w:bCs/>
        </w:rPr>
        <w:t xml:space="preserve">people</w:t>
      </w:r>
      <w:r>
        <w:t xml:space="preserve">. A graduate who stays in the community keeps learning, keeps teaching, and keeps the discipline alive between cohorts.</w:t>
      </w:r>
    </w:p>
    <w:bookmarkStart w:id="23" w:name="what-the-alumni-community-is"/>
    <w:p>
      <w:pPr>
        <w:pStyle w:val="Heading2"/>
      </w:pPr>
      <w:r>
        <w:t xml:space="preserve">1. What the alumni community is</w:t>
      </w:r>
    </w:p>
    <w:p>
      <w:pPr>
        <w:pStyle w:val="FirstParagraph"/>
      </w:pPr>
      <w:r>
        <w:t xml:space="preserve">The alumni community is a</w:t>
      </w:r>
      <w:r>
        <w:t xml:space="preserve"> </w:t>
      </w:r>
      <w:r>
        <w:rPr>
          <w:b/>
          <w:bCs/>
        </w:rPr>
        <w:t xml:space="preserve">standing learning organization</w:t>
      </w:r>
      <w:r>
        <w:t xml:space="preserve">, not a mailing list. It has four standing structures, each with a job: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job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Study groups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Keep learning current, together, on a cadence.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Practicum mentorship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Alumni coach new students through the pipeline’s real work.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Annual symposia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Gather the whole community once a year to set the discipline’s agenda.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Cross-cohort case library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 a reusable, ever-growing archive of analyzed real work.</w:t>
            </w:r>
          </w:p>
        </w:tc>
      </w:tr>
    </w:tbl>
    <w:p>
      <w:pPr>
        <w:pStyle w:val="BodyText"/>
      </w:pPr>
      <w:r>
        <w:t xml:space="preserve">Membership is</w:t>
      </w:r>
      <w:r>
        <w:t xml:space="preserve"> </w:t>
      </w:r>
      <w:r>
        <w:rPr>
          <w:b/>
          <w:bCs/>
        </w:rPr>
        <w:t xml:space="preserve">lifetime and unconditional on tier</w:t>
      </w:r>
      <w:r>
        <w:t xml:space="preserve">: a bachelor’s graduate, a master’s graduate, a doctoral graduate, a post-doctoral fellow, and an executive-education participant all belong to the same community. What differs is the</w:t>
      </w:r>
      <w:r>
        <w:t xml:space="preserve"> </w:t>
      </w:r>
      <w:r>
        <w:rPr>
          <w:i/>
          <w:iCs/>
        </w:rPr>
        <w:t xml:space="preserve">role</w:t>
      </w:r>
      <w:r>
        <w:t xml:space="preserve"> </w:t>
      </w:r>
      <w:r>
        <w:t xml:space="preserve">they are ready to play — and the community’s ladder of contribution makes that explicit.</w:t>
      </w:r>
    </w:p>
    <w:bookmarkEnd w:id="23"/>
    <w:bookmarkStart w:id="25" w:name="study-groups"/>
    <w:p>
      <w:pPr>
        <w:pStyle w:val="Heading2"/>
      </w:pPr>
      <w:r>
        <w:t xml:space="preserve">2. Study groups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/>
          <w:bCs/>
        </w:rPr>
        <w:t xml:space="preserve">study group</w:t>
      </w:r>
      <w:r>
        <w:t xml:space="preserve"> </w:t>
      </w:r>
      <w:r>
        <w:t xml:space="preserve">is a small, self-organizing cohort of alumni who meet on a cadence — monthly is the norm — to study one topic at altitude. Study groups are how the forever-learning promise stays true</w:t>
      </w:r>
      <w:r>
        <w:t xml:space="preserve"> </w:t>
      </w:r>
      <w:r>
        <w:rPr>
          <w:i/>
          <w:iCs/>
        </w:rPr>
        <w:t xml:space="preserve">between</w:t>
      </w:r>
      <w:r>
        <w:t xml:space="preserve"> </w:t>
      </w:r>
      <w:r>
        <w:t xml:space="preserve">the structured programs.</w:t>
      </w:r>
    </w:p>
    <w:p>
      <w:pPr>
        <w:pStyle w:val="BodyText"/>
      </w:pPr>
      <w:r>
        <w:t xml:space="preserve">Study groups form around three kinds of topics: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doctrine deep-dive.</w:t>
      </w:r>
      <w:r>
        <w:t xml:space="preserve"> </w:t>
      </w:r>
      <w:r>
        <w:t xml:space="preserve">A group re-reads one doctrine chapter and brings the hardest question they have about it — the debrief that contradicted it, the pursuit it failed to predict, the agency where it does not seem to hold. The doctrine is durable, but a room of experienced practitioners will always find the</w:t>
      </w:r>
      <w:r>
        <w:t xml:space="preserve"> </w:t>
      </w:r>
      <w:r>
        <w:rPr>
          <w:i/>
          <w:iCs/>
        </w:rPr>
        <w:t xml:space="preserve">edge cases</w:t>
      </w:r>
      <w:r>
        <w:t xml:space="preserve"> </w:t>
      </w:r>
      <w:r>
        <w:t xml:space="preserve">the text does not cover.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current-event arc.</w:t>
      </w:r>
      <w:r>
        <w:t xml:space="preserve"> </w:t>
      </w:r>
      <w:r>
        <w:t xml:space="preserve">A group runs its own version of the executive current-event roundtable (executive-education.md): a real, published-and-closed NOFO each month, read as evaluator, strategist, and teacher.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research read.</w:t>
      </w:r>
      <w:r>
        <w:t xml:space="preserve"> </w:t>
      </w:r>
      <w:r>
        <w:t xml:space="preserve">A group reads a study from the doctoral research agenda or a paper from a neighboring field (decision science, game theory) and asks what it implies for practice. This is how practice stays</w:t>
      </w:r>
      <w:r>
        <w:t xml:space="preserve"> </w:t>
      </w:r>
      <w:r>
        <w:rPr>
          <w:i/>
          <w:iCs/>
        </w:rPr>
        <w:t xml:space="preserve">evidence-aware</w:t>
      </w:r>
      <w:r>
        <w:t xml:space="preserve"> </w:t>
      </w:r>
      <w:r>
        <w:t xml:space="preserve">rather than merely experienced.</w:t>
      </w:r>
    </w:p>
    <w:p>
      <w:pPr>
        <w:pStyle w:val="FirstParagraph"/>
      </w:pPr>
      <w:r>
        <w:t xml:space="preserve">Each study group is expected to leave a</w:t>
      </w:r>
      <w:r>
        <w:t xml:space="preserve"> </w:t>
      </w:r>
      <w:r>
        <w:rPr>
          <w:b/>
          <w:bCs/>
        </w:rPr>
        <w:t xml:space="preserve">trace</w:t>
      </w:r>
      <w:r>
        <w:t xml:space="preserve">: a note in the cross-cohort case library, a proposed debrief-retrofit, or a question for the post-doctoral seminar. The community runs on the discipline’s own rule — the pipeline is always in the room — and a study group that produces nothing for the next cohort is a group that is not yet finished.</w:t>
      </w:r>
    </w:p>
    <w:bookmarkStart w:id="24" w:name="a-quarterly-study-group-facilitated"/>
    <w:p>
      <w:pPr>
        <w:pStyle w:val="Heading3"/>
      </w:pPr>
      <w:r>
        <w:t xml:space="preserve">A quarterly study group, facilitated</w:t>
      </w:r>
    </w:p>
    <w:p>
      <w:pPr>
        <w:pStyle w:val="FirstParagraph"/>
      </w:pPr>
      <w:r>
        <w:t xml:space="preserve">The study group is a small, self-organizing cohort — typically five to nine alumni — meeting monthly, with a rotating facilitator. The facilitation guide below is the standing structure that keeps a study group a</w:t>
      </w:r>
      <w:r>
        <w:t xml:space="preserve"> </w:t>
      </w:r>
      <w:r>
        <w:rPr>
          <w:i/>
          <w:iCs/>
        </w:rPr>
        <w:t xml:space="preserve">learning</w:t>
      </w:r>
      <w:r>
        <w:t xml:space="preserve"> </w:t>
      </w:r>
      <w:r>
        <w:t xml:space="preserve">group rather than a discussion group. It follows the module contract’s parts (learning objectives, a session arc, discussion prompts, a deliverable), adapted to a self-organized cohort.</w:t>
      </w:r>
    </w:p>
    <w:p>
      <w:pPr>
        <w:pStyle w:val="BodyText"/>
      </w:pPr>
      <w:r>
        <w:rPr>
          <w:b/>
          <w:bCs/>
        </w:rPr>
        <w:t xml:space="preserve">The facilitator’s role.</w:t>
      </w:r>
      <w:r>
        <w:t xml:space="preserve"> </w:t>
      </w:r>
      <w:r>
        <w:t xml:space="preserve">The facilitator is a gate owner, not a lecturer: they hold the session to its arc, keep the discussion specific, and make sure the group leaves a trace. The role rotates quarterly so no one carries the community alone.</w:t>
      </w:r>
    </w:p>
    <w:p>
      <w:pPr>
        <w:pStyle w:val="BodyText"/>
      </w:pPr>
      <w:r>
        <w:rPr>
          <w:b/>
          <w:bCs/>
        </w:rPr>
        <w:t xml:space="preserve">A session arc (90 minutes).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Block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happens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0:00–0:10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 the question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facilitator states the session’s topic and the group’s learning objective for the session. The topic is one of the three study-group kinds: a doctrine deep-dive, a current-event arc, or a research read.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0:10–0:40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object on the table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presenter (a rotating member) puts the session’s object on the table: a doctrine chapter with the hardest question the group has about it; a published-and-closed NOFO read as evaluator, strategist, and teacher; or a study from the research agenda read for what it implies for practice.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0:40–1:20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room presses the object the way the discipline presses a pursuit: specific findings, independent reads, the doctrine’s edge cases — the debrief that contradicted it, the pursuit it failed to predict, the agency where it does not seem to hold. The facilitator keeps findings specific and forward-only.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1:20–1:30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trace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group agrees the session’s trace: a note for the cross-cohort case library, a proposed debrief-retrofit, or a question for the post-doctoral seminar. The facilitator records it and names who owns the write-up.</w:t>
            </w:r>
          </w:p>
        </w:tc>
      </w:tr>
    </w:tbl>
    <w:p>
      <w:pPr>
        <w:pStyle w:val="BodyText"/>
      </w:pPr>
      <w:r>
        <w:rPr>
          <w:b/>
          <w:bCs/>
        </w:rPr>
        <w:t xml:space="preserve">The quarterly rhythm.</w:t>
      </w:r>
      <w:r>
        <w:t xml:space="preserve"> </w:t>
      </w:r>
      <w:r>
        <w:t xml:space="preserve">The monthly sessions are punctuated by a</w:t>
      </w:r>
      <w:r>
        <w:t xml:space="preserve"> </w:t>
      </w:r>
      <w:r>
        <w:rPr>
          <w:b/>
          <w:bCs/>
        </w:rPr>
        <w:t xml:space="preserve">quarterly study-group check-in</w:t>
      </w:r>
      <w:r>
        <w:t xml:space="preserve"> </w:t>
      </w:r>
      <w:r>
        <w:t xml:space="preserve">— one session per quarter dedicated to the group’s own learning, not the topic: what have we learned, what have we left as traces, is the group still stretching its members or has it become a social hour. The check-in is the study group’s own recertification (the discipline’s refresh discipline applied to the group).</w:t>
      </w:r>
    </w:p>
    <w:p>
      <w:pPr>
        <w:pStyle w:val="BodyText"/>
      </w:pPr>
      <w:r>
        <w:rPr>
          <w:b/>
          <w:bCs/>
        </w:rPr>
        <w:t xml:space="preserve">Discussion prompts.</w:t>
      </w:r>
    </w:p>
    <w:p>
      <w:pPr>
        <w:pStyle w:val="Compact"/>
        <w:numPr>
          <w:ilvl w:val="0"/>
          <w:numId w:val="1002"/>
        </w:numPr>
      </w:pPr>
      <w:r>
        <w:t xml:space="preserve">“</w:t>
      </w:r>
      <w:r>
        <w:t xml:space="preserve">What is the hardest question you have about this topic, and where did the doctrine’s answer stop satisfying you?</w:t>
      </w:r>
      <w:r>
        <w:t xml:space="preserve">”</w:t>
      </w:r>
    </w:p>
    <w:p>
      <w:pPr>
        <w:pStyle w:val="Compact"/>
        <w:numPr>
          <w:ilvl w:val="0"/>
          <w:numId w:val="1002"/>
        </w:numPr>
      </w:pPr>
      <w:r>
        <w:t xml:space="preserve">“</w:t>
      </w:r>
      <w:r>
        <w:t xml:space="preserve">What would a study of this claim need to show before you changed your practice — and is that evidence obtainable?</w:t>
      </w:r>
      <w:r>
        <w:t xml:space="preserve">”</w:t>
      </w:r>
    </w:p>
    <w:p>
      <w:pPr>
        <w:pStyle w:val="Compact"/>
        <w:numPr>
          <w:ilvl w:val="0"/>
          <w:numId w:val="1002"/>
        </w:numPr>
      </w:pPr>
      <w:r>
        <w:t xml:space="preserve">“</w:t>
      </w:r>
      <w:r>
        <w:t xml:space="preserve">Who in this room has a debrief or a pursuit that contradicts this — and what does the contradiction teach?</w:t>
      </w:r>
      <w:r>
        <w:t xml:space="preserve">”</w:t>
      </w:r>
    </w:p>
    <w:p>
      <w:pPr>
        <w:pStyle w:val="Compact"/>
        <w:numPr>
          <w:ilvl w:val="0"/>
          <w:numId w:val="1002"/>
        </w:numPr>
      </w:pPr>
      <w:r>
        <w:t xml:space="preserve">“</w:t>
      </w:r>
      <w:r>
        <w:t xml:space="preserve">What is the one thing this group should leave for the next cohort, and who will own it?</w:t>
      </w:r>
      <w:r>
        <w:t xml:space="preserve">”</w:t>
      </w:r>
    </w:p>
    <w:p>
      <w:pPr>
        <w:pStyle w:val="FirstParagraph"/>
      </w:pPr>
      <w:r>
        <w:rPr>
          <w:b/>
          <w:bCs/>
        </w:rPr>
        <w:t xml:space="preserve">Facilitator note.</w:t>
      </w:r>
      <w:r>
        <w:t xml:space="preserve"> </w:t>
      </w:r>
      <w:r>
        <w:t xml:space="preserve">The study group’s failure mode is the social hour — pleasant, specific, and trace-free. Guard against it with three moves:</w:t>
      </w:r>
      <w:r>
        <w:t xml:space="preserve"> </w:t>
      </w:r>
      <w:r>
        <w:rPr>
          <w:b/>
          <w:bCs/>
        </w:rPr>
        <w:t xml:space="preserve">open with the learning objective</w:t>
      </w:r>
      <w:r>
        <w:t xml:space="preserve"> </w:t>
      </w:r>
      <w:r>
        <w:t xml:space="preserve">(the group cannot drift if the objective is stated),</w:t>
      </w:r>
      <w:r>
        <w:t xml:space="preserve"> </w:t>
      </w:r>
      <w:r>
        <w:rPr>
          <w:b/>
          <w:bCs/>
        </w:rPr>
        <w:t xml:space="preserve">enforce specificity</w:t>
      </w:r>
      <w:r>
        <w:t xml:space="preserve"> </w:t>
      </w:r>
      <w:r>
        <w:t xml:space="preserve">(a comment that does not name the page, the clause, or the evidence is gently returned), and</w:t>
      </w:r>
      <w:r>
        <w:t xml:space="preserve"> </w:t>
      </w:r>
      <w:r>
        <w:rPr>
          <w:b/>
          <w:bCs/>
        </w:rPr>
        <w:t xml:space="preserve">protect the trace</w:t>
      </w:r>
      <w:r>
        <w:t xml:space="preserve"> </w:t>
      </w:r>
      <w:r>
        <w:t xml:space="preserve">(the last ten minutes are sacred — no group leaves without agreeing what it leaves). Rotate the facilitator quarterly and the presenter monthly so contribution is shared, not hoarded.</w:t>
      </w:r>
    </w:p>
    <w:bookmarkEnd w:id="24"/>
    <w:bookmarkEnd w:id="25"/>
    <w:bookmarkStart w:id="26" w:name="X20714b625f8ac9ea4d38c4a4e2a1c54d6fdff24"/>
    <w:p>
      <w:pPr>
        <w:pStyle w:val="Heading2"/>
      </w:pPr>
      <w:r>
        <w:t xml:space="preserve">3. Practicum mentorship: alumni coach new students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practicum</w:t>
      </w:r>
      <w:r>
        <w:t xml:space="preserve"> </w:t>
      </w:r>
      <w:r>
        <w:t xml:space="preserve">is the community’s core teaching structure: an alumni mentor coaches a new student through the pipeline’s real work. It is the curriculum’s answer to the apprentice model the industry always used informally, made deliberate.</w:t>
      </w:r>
    </w:p>
    <w:p>
      <w:pPr>
        <w:pStyle w:val="BodyText"/>
      </w:pPr>
      <w:r>
        <w:t xml:space="preserve">The practicum pairs a</w:t>
      </w:r>
      <w:r>
        <w:t xml:space="preserve"> </w:t>
      </w:r>
      <w:r>
        <w:rPr>
          <w:b/>
          <w:bCs/>
        </w:rPr>
        <w:t xml:space="preserve">mentor</w:t>
      </w:r>
      <w:r>
        <w:t xml:space="preserve"> </w:t>
      </w:r>
      <w:r>
        <w:t xml:space="preserve">(an alumni professional, typically with several years of practice behind them) with a</w:t>
      </w:r>
      <w:r>
        <w:t xml:space="preserve"> </w:t>
      </w:r>
      <w:r>
        <w:rPr>
          <w:b/>
          <w:bCs/>
        </w:rPr>
        <w:t xml:space="preserve">protégé</w:t>
      </w:r>
      <w:r>
        <w:t xml:space="preserve"> </w:t>
      </w:r>
      <w:r>
        <w:t xml:space="preserve">(a student working the undergraduate or graduate tier) across one full pursuit cycle: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Pipeline 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the mentor does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Sense → qualify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Reads the student’s market map and qualifies a real, published-and-closed solicitation.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Score → pursue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Challenges the student’s score and bid/no-bid call the way a capture review would.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Design → audit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Runs the color-team cadence over the student’s ORBITAL and proposal volumes.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Submit → learn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Walks the debrief with the student and mines the loss for the next lesson.</w:t>
            </w:r>
          </w:p>
        </w:tc>
      </w:tr>
    </w:tbl>
    <w:p>
      <w:pPr>
        <w:pStyle w:val="BodyText"/>
      </w:pPr>
      <w:r>
        <w:t xml:space="preserve">The practicum has two rules. First,</w:t>
      </w:r>
      <w:r>
        <w:t xml:space="preserve"> </w:t>
      </w:r>
      <w:r>
        <w:rPr>
          <w:b/>
          <w:bCs/>
        </w:rPr>
        <w:t xml:space="preserve">real documents, safe exercises</w:t>
      </w:r>
      <w:r>
        <w:t xml:space="preserve"> </w:t>
      </w:r>
      <w:r>
        <w:t xml:space="preserve">— the same rule as every tier: published-and-closed teaching objects, nothing live, nothing source-selection-sensitive. Second,</w:t>
      </w:r>
      <w:r>
        <w:t xml:space="preserve"> </w:t>
      </w:r>
      <w:r>
        <w:rPr>
          <w:b/>
          <w:bCs/>
        </w:rPr>
        <w:t xml:space="preserve">the mentor coaches the discipline, not the answer</w:t>
      </w:r>
      <w:r>
        <w:t xml:space="preserve"> </w:t>
      </w:r>
      <w:r>
        <w:t xml:space="preserve">— the mentor’s job is to ask the question the student needs, not to do the work. The discipline’s own governance vocabulary applies: the mentor is a gate owner who holds the student to written criteria, not a pair programmer who writes the proposal for them.</w:t>
      </w:r>
    </w:p>
    <w:p>
      <w:pPr>
        <w:pStyle w:val="BodyText"/>
      </w:pPr>
      <w:r>
        <w:t xml:space="preserve">Mentorship is also a</w:t>
      </w:r>
      <w:r>
        <w:t xml:space="preserve"> </w:t>
      </w:r>
      <w:r>
        <w:rPr>
          <w:b/>
          <w:bCs/>
        </w:rPr>
        <w:t xml:space="preserve">learning device for the mentor</w:t>
      </w:r>
      <w:r>
        <w:t xml:space="preserve">. Teaching a score to a student who challenges it exposes the assumptions in your own scoring. The community’s best practitioners report that coaching a cohort makes them see their own next pursuit more clearly — which is the entire point of the loop.</w:t>
      </w:r>
    </w:p>
    <w:bookmarkEnd w:id="26"/>
    <w:bookmarkStart w:id="28" w:name="annual-symposia"/>
    <w:p>
      <w:pPr>
        <w:pStyle w:val="Heading2"/>
      </w:pPr>
      <w:r>
        <w:t xml:space="preserve">4. Annual symposia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annual symposium</w:t>
      </w:r>
      <w:r>
        <w:t xml:space="preserve"> </w:t>
      </w:r>
      <w:r>
        <w:t xml:space="preserve">is the community’s one standing gathering. It is part conference, part color team, and part gate review — and it is where the community sets the discipline’s agenda for the coming year.</w:t>
      </w:r>
    </w:p>
    <w:p>
      <w:pPr>
        <w:pStyle w:val="BodyText"/>
      </w:pPr>
      <w:r>
        <w:t xml:space="preserve">A symposium’s standing agenda: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year in the record.</w:t>
      </w:r>
      <w:r>
        <w:t xml:space="preserve"> </w:t>
      </w:r>
      <w:r>
        <w:t xml:space="preserve">The outcome-data record is reviewed: what was predicted, what happened, what the debriefs taught. This is the community reading the market the way a capture team reads a competitor.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doctrine’s open questions.</w:t>
      </w:r>
      <w:r>
        <w:t xml:space="preserve"> </w:t>
      </w:r>
      <w:r>
        <w:t xml:space="preserve">The post-doctoral seminar presents the research agenda’s state; the executive tier presents the regulatory-change watch’s delta. The community decides which questions are now urgent.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case-library review.</w:t>
      </w:r>
      <w:r>
        <w:t xml:space="preserve"> </w:t>
      </w:r>
      <w:r>
        <w:t xml:space="preserve">New entries to the cross-cohort case library are presented and debated — a winning strategy that surprised everyone, a loss that the doctrine should have predicted.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retrofits.</w:t>
      </w:r>
      <w:r>
        <w:t xml:space="preserve"> </w:t>
      </w:r>
      <w:r>
        <w:t xml:space="preserve">Proposed debrief-retrofits are voted into the curriculum’s refresh pipeline (refresh-and-recertification.md). The symposium is a gate: a lesson only enters the curriculum through a written, reviewed retrofit.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cohort handover.</w:t>
      </w:r>
      <w:r>
        <w:t xml:space="preserve"> </w:t>
      </w:r>
      <w:r>
        <w:t xml:space="preserve">The year’s graduating students are introduced to their mentors; the year’s mentors are recognized; the community’s contribution ladder is updated.</w:t>
      </w:r>
    </w:p>
    <w:p>
      <w:pPr>
        <w:pStyle w:val="FirstParagraph"/>
      </w:pPr>
      <w:r>
        <w:t xml:space="preserve">The symposium is the annual proof that the community is a</w:t>
      </w:r>
      <w:r>
        <w:t xml:space="preserve"> </w:t>
      </w:r>
      <w:r>
        <w:rPr>
          <w:b/>
          <w:bCs/>
        </w:rPr>
        <w:t xml:space="preserve">learning organization</w:t>
      </w:r>
      <w:r>
        <w:t xml:space="preserve">, not a reunion. It has an agenda, it produces decisions, and it ships lessons into the curriculum.</w:t>
      </w:r>
    </w:p>
    <w:bookmarkStart w:id="27" w:name="the-annual-symposium-agenda-skeleton"/>
    <w:p>
      <w:pPr>
        <w:pStyle w:val="Heading3"/>
      </w:pPr>
      <w:r>
        <w:t xml:space="preserve">The annual symposium agenda skeleton</w:t>
      </w:r>
    </w:p>
    <w:p>
      <w:pPr>
        <w:pStyle w:val="FirstParagraph"/>
      </w:pPr>
      <w:r>
        <w:t xml:space="preserve">The symposium is the community’s one standing gathering — a full day (eight hours), run on the standing agenda below. It is part conference, part color team, part gate review; its four load-bearing elements are the</w:t>
      </w:r>
      <w:r>
        <w:t xml:space="preserve"> </w:t>
      </w:r>
      <w:r>
        <w:rPr>
          <w:b/>
          <w:bCs/>
        </w:rPr>
        <w:t xml:space="preserve">keynote</w:t>
      </w:r>
      <w:r>
        <w:t xml:space="preserve">, the</w:t>
      </w:r>
      <w:r>
        <w:t xml:space="preserve"> </w:t>
      </w:r>
      <w:r>
        <w:rPr>
          <w:b/>
          <w:bCs/>
        </w:rPr>
        <w:t xml:space="preserve">cross-cohort case panel</w:t>
      </w:r>
      <w:r>
        <w:t xml:space="preserve">, the</w:t>
      </w:r>
      <w:r>
        <w:t xml:space="preserve"> </w:t>
      </w:r>
      <w:r>
        <w:rPr>
          <w:b/>
          <w:bCs/>
        </w:rPr>
        <w:t xml:space="preserve">workshop tracks</w:t>
      </w:r>
      <w:r>
        <w:t xml:space="preserve">, and the</w:t>
      </w:r>
      <w:r>
        <w:t xml:space="preserve"> </w:t>
      </w:r>
      <w:r>
        <w:rPr>
          <w:b/>
          <w:bCs/>
        </w:rPr>
        <w:t xml:space="preserve">retrofit gate</w:t>
      </w:r>
      <w:r>
        <w:t xml:space="preserve">. Each element has a job, and no element is a speech.</w:t>
      </w:r>
    </w:p>
    <w:p>
      <w:pPr>
        <w:pStyle w:val="BodyText"/>
      </w:pPr>
      <w:r>
        <w:rPr>
          <w:b/>
          <w:bCs/>
        </w:rPr>
        <w:t xml:space="preserve">Agenda skeleton (one day).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job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8:30–9:00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Registration and the year in numbers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community arrives; the outcome-data record’s year-in-review is up on the screen — what was predicted, what happened, what the debriefs taught.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9:00–9:45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Keynote — the state of the 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keynote sets the year’s strategic question: a senior figure (an executive, a post-doctoral fellow, or an invited scholar from a neighboring field) frames the open question the community will work on all day. Not a motivational speech — a thesis the day will test.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9:45–11:00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Cross-cohort case panel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panel drawn across cohorts — a bachelor’s graduate, a master’s graduate, a doctoral graduate, an executive — each presenting one entry from the cross-cohort case library: a winning strategy that surprised everyone, a loss the doctrine should have predicted, a partnership that compounded. The panel is pressed by the room the way a color team presses a proposal: specific findings, forward-only.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11:00–11:15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Break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11:15–12:45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Workshop tracks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Parallel working sessions, one per open question the community voted to work on (see the retrofit gate below for how questions are selected): a doctrine deep-dive, a current-event roundtable on a real, published-and-closed NOFO, a research read from the agenda, a master-class sample. Each track produces a written trace — a proposed retrofit, a case-library entry, a research question.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12:45–13:45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Lunch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Informal; cross-cohort pairing is encouraged (the cohort handover begins here).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13:45–15:15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Workshop tracks, second round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tracks reconvene or rotate; the goal is that each track’s trace reaches a</w:t>
            </w:r>
            <w:r>
              <w:t xml:space="preserve"> </w:t>
            </w:r>
            <w:r>
              <w:rPr>
                <w:i/>
                <w:iCs/>
              </w:rPr>
              <w:t xml:space="preserve">reviewable</w:t>
            </w:r>
            <w:r>
              <w:t xml:space="preserve"> </w:t>
            </w:r>
            <w:r>
              <w:t xml:space="preserve">state — a draft, not a wish.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15:15–15:45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year’s retrofits, presented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Proposed debrief-retrofits and track traces are presented to the whole room, each with its written draft, its owner, and its claimed lesson.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15:45–16:45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Retrofit gate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community votes the retrofits into the refresh pipeline. The gate follows the discipline’s governance: criteria written in advance (is the lesson new? is it consistent with the doctrine? is the source documented?), a named owner per retrofit, a forward-only cadence. A lesson only enters the curriculum through this gate.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16:45–17:30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Cohort handover and close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year’s graduating students are introduced to their mentors; the year’s mentors are recognized; the community’s contribution ladder is updated; the next year’s symposium chair is named.</w:t>
            </w:r>
          </w:p>
        </w:tc>
      </w:tr>
    </w:tbl>
    <w:p>
      <w:pPr>
        <w:pStyle w:val="BodyText"/>
      </w:pPr>
      <w:r>
        <w:rPr>
          <w:b/>
          <w:bCs/>
        </w:rPr>
        <w:t xml:space="preserve">What the four load-bearing elements protect.</w:t>
      </w:r>
      <w:r>
        <w:t xml:space="preserve"> </w:t>
      </w:r>
      <w:r>
        <w:t xml:space="preserve">The</w:t>
      </w:r>
      <w:r>
        <w:t xml:space="preserve"> </w:t>
      </w:r>
      <w:r>
        <w:rPr>
          <w:b/>
          <w:bCs/>
        </w:rPr>
        <w:t xml:space="preserve">keynote</w:t>
      </w:r>
      <w:r>
        <w:t xml:space="preserve"> </w:t>
      </w:r>
      <w:r>
        <w:t xml:space="preserve">sets a thesis so the day is an argument, not a series of talks. The</w:t>
      </w:r>
      <w:r>
        <w:t xml:space="preserve"> </w:t>
      </w:r>
      <w:r>
        <w:rPr>
          <w:b/>
          <w:bCs/>
        </w:rPr>
        <w:t xml:space="preserve">cross-cohort case panel</w:t>
      </w:r>
      <w:r>
        <w:t xml:space="preserve"> </w:t>
      </w:r>
      <w:r>
        <w:t xml:space="preserve">forces the case library to be</w:t>
      </w:r>
      <w:r>
        <w:t xml:space="preserve"> </w:t>
      </w:r>
      <w:r>
        <w:rPr>
          <w:i/>
          <w:iCs/>
        </w:rPr>
        <w:t xml:space="preserve">presented and pressed</w:t>
      </w:r>
      <w:r>
        <w:t xml:space="preserve"> </w:t>
      </w:r>
      <w:r>
        <w:t xml:space="preserve">rather than filed. The</w:t>
      </w:r>
      <w:r>
        <w:t xml:space="preserve"> </w:t>
      </w:r>
      <w:r>
        <w:rPr>
          <w:b/>
          <w:bCs/>
        </w:rPr>
        <w:t xml:space="preserve">workshop tracks</w:t>
      </w:r>
      <w:r>
        <w:t xml:space="preserve"> </w:t>
      </w:r>
      <w:r>
        <w:t xml:space="preserve">make the day productive — every attendee leaves having worked on a live question, not having watched. The</w:t>
      </w:r>
      <w:r>
        <w:t xml:space="preserve"> </w:t>
      </w:r>
      <w:r>
        <w:rPr>
          <w:b/>
          <w:bCs/>
        </w:rPr>
        <w:t xml:space="preserve">retrofit gate</w:t>
      </w:r>
      <w:r>
        <w:t xml:space="preserve"> </w:t>
      </w:r>
      <w:r>
        <w:t xml:space="preserve">is the symposium’s reason for being: it is the standing gate through which the community’s lessons enter the curriculum, so the community literally learns from the market every year.</w:t>
      </w:r>
    </w:p>
    <w:p>
      <w:pPr>
        <w:pStyle w:val="BodyText"/>
      </w:pPr>
      <w:r>
        <w:rPr>
          <w:b/>
          <w:bCs/>
        </w:rPr>
        <w:t xml:space="preserve">Facilitator note.</w:t>
      </w:r>
      <w:r>
        <w:t xml:space="preserve"> </w:t>
      </w:r>
      <w:r>
        <w:t xml:space="preserve">The symposium’s failure mode is the reunion — a full day of warm, trace-free company. Three guards:</w:t>
      </w:r>
      <w:r>
        <w:t xml:space="preserve"> </w:t>
      </w:r>
      <w:r>
        <w:rPr>
          <w:b/>
          <w:bCs/>
        </w:rPr>
        <w:t xml:space="preserve">the day must produce decisions</w:t>
      </w:r>
      <w:r>
        <w:t xml:space="preserve"> </w:t>
      </w:r>
      <w:r>
        <w:t xml:space="preserve">(the retrofit gate is not optional; it is the day’s deliverable),</w:t>
      </w:r>
      <w:r>
        <w:t xml:space="preserve"> </w:t>
      </w:r>
      <w:r>
        <w:rPr>
          <w:b/>
          <w:bCs/>
        </w:rPr>
        <w:t xml:space="preserve">the case panel must be pressed</w:t>
      </w:r>
      <w:r>
        <w:t xml:space="preserve"> </w:t>
      </w:r>
      <w:r>
        <w:t xml:space="preserve">(a panel that is not questioned is a set of speeches), and</w:t>
      </w:r>
      <w:r>
        <w:t xml:space="preserve"> </w:t>
      </w:r>
      <w:r>
        <w:rPr>
          <w:b/>
          <w:bCs/>
        </w:rPr>
        <w:t xml:space="preserve">the tracks must leave traces</w:t>
      </w:r>
      <w:r>
        <w:t xml:space="preserve"> </w:t>
      </w:r>
      <w:r>
        <w:t xml:space="preserve">(a workshop that ends without a written draft has not finished). The agenda above is the skeleton; the community’s standing order is that the skeleton never collapses into a conference.</w:t>
      </w:r>
    </w:p>
    <w:bookmarkEnd w:id="27"/>
    <w:bookmarkEnd w:id="28"/>
    <w:bookmarkStart w:id="29" w:name="the-lifetime-access-model"/>
    <w:p>
      <w:pPr>
        <w:pStyle w:val="Heading2"/>
      </w:pPr>
      <w:r>
        <w:t xml:space="preserve">5. The lifetime-access model</w:t>
      </w:r>
    </w:p>
    <w:p>
      <w:pPr>
        <w:pStyle w:val="FirstParagraph"/>
      </w:pPr>
      <w:r>
        <w:t xml:space="preserve">Alumni hold</w:t>
      </w:r>
      <w:r>
        <w:t xml:space="preserve"> </w:t>
      </w:r>
      <w:r>
        <w:rPr>
          <w:b/>
          <w:bCs/>
        </w:rPr>
        <w:t xml:space="preserve">lifetime access</w:t>
      </w:r>
      <w:r>
        <w:t xml:space="preserve"> </w:t>
      </w:r>
      <w:r>
        <w:t xml:space="preserve">to the curriculum — every tier, every module, every future refresh — and lifetime standing in the community. The access model has three deliberate properties: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Access is to the doctrine, not to the tools.</w:t>
      </w:r>
      <w:r>
        <w:t xml:space="preserve"> </w:t>
      </w:r>
      <w:r>
        <w:t xml:space="preserve">Lifetime access means the learner can always re-read the doctrine, re-take a master class, join a study group, or attend the symposium. It does not mean access to any product — the curriculum is stack-agnostic, and so is its library.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Access compounds with contribution.</w:t>
      </w:r>
      <w:r>
        <w:t xml:space="preserve"> </w:t>
      </w:r>
      <w:r>
        <w:t xml:space="preserve">The community’s ladder of contribution is explicit: a learner who returns to mentor, to peer-review, to curate the corpus, or to author a retrofit earns</w:t>
      </w:r>
      <w:r>
        <w:t xml:space="preserve"> </w:t>
      </w:r>
      <w:r>
        <w:rPr>
          <w:i/>
          <w:iCs/>
        </w:rPr>
        <w:t xml:space="preserve">standing</w:t>
      </w:r>
      <w:r>
        <w:t xml:space="preserve"> </w:t>
      </w:r>
      <w:r>
        <w:t xml:space="preserve">— faculty roles, editorial voice, symposium platform. The discipline values its stewards by the same criteria it teaches: contribution, not tenure.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Access stays honest.</w:t>
      </w:r>
      <w:r>
        <w:t xml:space="preserve"> </w:t>
      </w:r>
      <w:r>
        <w:t xml:space="preserve">The refresh cadence re-verifies that every alumni-touching doc still matches reality (the rulebook delta, the DNA version, the canon edition). Lifetime access to a stale curriculum would be a disservice; the community’s refresh discipline is what makes the lifetime promise real.</w:t>
      </w:r>
    </w:p>
    <w:bookmarkEnd w:id="29"/>
    <w:bookmarkStart w:id="30" w:name="the-cross-cohort-case-library"/>
    <w:p>
      <w:pPr>
        <w:pStyle w:val="Heading2"/>
      </w:pPr>
      <w:r>
        <w:t xml:space="preserve">6. The cross-cohort case library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cross-cohort case library</w:t>
      </w:r>
      <w:r>
        <w:t xml:space="preserve"> </w:t>
      </w:r>
      <w:r>
        <w:t xml:space="preserve">is the community’s shared memory: a growing, indexed archive of analyzed real work. Each entry is a published-and-closed solicitation, analyzed at altitude, with the analysis preserved for every future cohort to learn from.</w:t>
      </w:r>
    </w:p>
    <w:p>
      <w:pPr>
        <w:pStyle w:val="BodyText"/>
      </w:pPr>
      <w:r>
        <w:t xml:space="preserve">An entry follows a fixed spine, mirroring the pipeline: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The document.</w:t>
      </w:r>
      <w:r>
        <w:t xml:space="preserve"> </w:t>
      </w:r>
      <w:r>
        <w:t xml:space="preserve">The real solicitation (or its key pages), linked or referenced, with its publication facts.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The read.</w:t>
      </w:r>
      <w:r>
        <w:t xml:space="preserve"> </w:t>
      </w:r>
      <w:r>
        <w:t xml:space="preserve">How the group read it — evaluation structure, compliance spine, the discriminators the structure favored.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The strategy.</w:t>
      </w:r>
      <w:r>
        <w:t xml:space="preserve"> </w:t>
      </w:r>
      <w:r>
        <w:t xml:space="preserve">The win strategy the cohort would have run — themes, discriminators, teaming, pricing posture — with the reasoning.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The outcome.</w:t>
      </w:r>
      <w:r>
        <w:t xml:space="preserve"> </w:t>
      </w:r>
      <w:r>
        <w:t xml:space="preserve">What actually happened (award, debrief, protest), where available.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The lesson.</w:t>
      </w:r>
      <w:r>
        <w:t xml:space="preserve"> </w:t>
      </w:r>
      <w:r>
        <w:t xml:space="preserve">What this entry teaches that the doctrine does not yet say — the seed of a debrief-retrofit.</w:t>
      </w:r>
    </w:p>
    <w:p>
      <w:pPr>
        <w:pStyle w:val="FirstParagraph"/>
      </w:pPr>
      <w:r>
        <w:t xml:space="preserve">The library is the discipline’s</w:t>
      </w:r>
      <w:r>
        <w:t xml:space="preserve"> </w:t>
      </w:r>
      <w:r>
        <w:rPr>
          <w:b/>
          <w:bCs/>
        </w:rPr>
        <w:t xml:space="preserve">case method</w:t>
      </w:r>
      <w:r>
        <w:t xml:space="preserve">, built by the community rather than by a textbook author. It grows every year, every cohort, every study group — and it is the clearest evidence of the</w:t>
      </w:r>
      <w:r>
        <w:t xml:space="preserve"> </w:t>
      </w:r>
      <w:r>
        <w:t xml:space="preserve">“</w:t>
      </w:r>
      <w:r>
        <w:t xml:space="preserve">forever-learning</w:t>
      </w:r>
      <w:r>
        <w:t xml:space="preserve">”</w:t>
      </w:r>
      <w:r>
        <w:t xml:space="preserve"> </w:t>
      </w:r>
      <w:r>
        <w:t xml:space="preserve">promise: a learner who joins the community and stays for twenty years reads a library that is twenty years richer than the one they started with.</w:t>
      </w:r>
    </w:p>
    <w:bookmarkEnd w:id="30"/>
    <w:bookmarkStart w:id="31" w:name="the-communitys-governance"/>
    <w:p>
      <w:pPr>
        <w:pStyle w:val="Heading2"/>
      </w:pPr>
      <w:r>
        <w:t xml:space="preserve">7. The community’s governance</w:t>
      </w:r>
    </w:p>
    <w:p>
      <w:pPr>
        <w:pStyle w:val="FirstParagraph"/>
      </w:pPr>
      <w:r>
        <w:t xml:space="preserve">The community runs on the discipline’s own governance ideas (doctrine/04): gates with written criteria, named owners, forward-only cadence.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Integrity is the floor.</w:t>
      </w:r>
      <w:r>
        <w:t xml:space="preserve"> </w:t>
      </w:r>
      <w:r>
        <w:t xml:space="preserve">The case library, the study-group notes, and the practicum all operate under the curriculum’s non-fabrication standard: documented fact separated from clearly-labeled illustrative material, nothing attributed to a real organization that did not do it.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The safe-exercise rule holds in the community too.</w:t>
      </w:r>
      <w:r>
        <w:t xml:space="preserve"> </w:t>
      </w:r>
      <w:r>
        <w:t xml:space="preserve">Alumni work in the industry; the community’s standing rule is that no live competition and no source-selection-sensitive information enters any community forum. The case library contains only published-and-closed teaching objects.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Contribution is recognized, not rationed.</w:t>
      </w:r>
      <w:r>
        <w:t xml:space="preserve"> </w:t>
      </w:r>
      <w:r>
        <w:t xml:space="preserve">There is no quota on mentorship or study groups. The community’s ladder rewards contribution with standing, but the door stays open to any member at any level.</w:t>
      </w:r>
    </w:p>
    <w:bookmarkEnd w:id="31"/>
    <w:bookmarkStart w:id="32" w:name="self-check"/>
    <w:p>
      <w:pPr>
        <w:pStyle w:val="Heading2"/>
      </w:pPr>
      <w:r>
        <w:t xml:space="preserve">Self-check</w:t>
      </w:r>
    </w:p>
    <w:p>
      <w:pPr>
        <w:pStyle w:val="Compact"/>
        <w:numPr>
          <w:ilvl w:val="0"/>
          <w:numId w:val="1007"/>
        </w:numPr>
      </w:pPr>
      <w:r>
        <w:t xml:space="preserve">How is the alumni community the</w:t>
      </w:r>
      <w:r>
        <w:t xml:space="preserve"> </w:t>
      </w:r>
      <w:r>
        <w:t xml:space="preserve">“</w:t>
      </w:r>
      <w:r>
        <w:t xml:space="preserve">cosmology loop for people</w:t>
      </w:r>
      <w:r>
        <w:t xml:space="preserve">”</w:t>
      </w:r>
      <w:r>
        <w:t xml:space="preserve"> </w:t>
      </w:r>
      <w:r>
        <w:t xml:space="preserve">— and what does a study group leave for the next cohort?</w:t>
      </w:r>
    </w:p>
    <w:p>
      <w:pPr>
        <w:pStyle w:val="Compact"/>
        <w:numPr>
          <w:ilvl w:val="0"/>
          <w:numId w:val="1007"/>
        </w:numPr>
      </w:pPr>
      <w:r>
        <w:t xml:space="preserve">What are the two rules of the practicum, and why does coaching a student sharpen the mentor’s own judgment?</w:t>
      </w:r>
    </w:p>
    <w:p>
      <w:pPr>
        <w:pStyle w:val="Compact"/>
        <w:numPr>
          <w:ilvl w:val="0"/>
          <w:numId w:val="1007"/>
        </w:numPr>
      </w:pPr>
      <w:r>
        <w:t xml:space="preserve">Why must an entry to the cross-cohort case library end with</w:t>
      </w:r>
      <w:r>
        <w:t xml:space="preserve"> </w:t>
      </w:r>
      <w:r>
        <w:t xml:space="preserve">“</w:t>
      </w:r>
      <w:r>
        <w:t xml:space="preserve">the lesson,</w:t>
      </w:r>
      <w:r>
        <w:t xml:space="preserve">”</w:t>
      </w:r>
      <w:r>
        <w:t xml:space="preserve"> </w:t>
      </w:r>
      <w:r>
        <w:t xml:space="preserve">and how does that lesson reach the curriculum?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21" Type="http://schemas.openxmlformats.org/officeDocument/2006/relationships/hyperlink" Target="README.md" TargetMode="External"/><Relationship Id="rId7" Type="http://schemas.openxmlformats.org/officeDocument/2006/relationships/footnotes" Target="footnotes.xm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20" Type="http://schemas.openxmlformats.org/officeDocument/2006/relationships/hyperlink" Target="../../course/forever-learning-program.md" TargetMode="Externa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24" Type="http://schemas.openxmlformats.org/officeDocument/2006/relationships/customXml" Target="../customXml/item2.xml"/><Relationship Id="rId5" Type="http://schemas.openxmlformats.org/officeDocument/2006/relationships/fontTable" Target="fontTable.xml"/><Relationship Id="rId23" Type="http://schemas.openxmlformats.org/officeDocument/2006/relationships/customXml" Target="../customXml/item1.xml"/><Relationship Id="rId4" Type="http://schemas.openxmlformats.org/officeDocument/2006/relationships/webSettings" Target="webSettings.xml"/><Relationship Id="rId22" Type="http://schemas.openxmlformats.org/officeDocument/2006/relationships/hyperlink" Target="refresh-and-recertification.md" TargetMode="External"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../../course/forever-learning-program.md" TargetMode="External" /><Relationship Type="http://schemas.openxmlformats.org/officeDocument/2006/relationships/hyperlink" Id="rId21" Target="README.md" TargetMode="External" /><Relationship Type="http://schemas.openxmlformats.org/officeDocument/2006/relationships/hyperlink" Id="rId22" Target="refresh-and-recertification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164DB3FB-4868-4A46-88F4-0A2D50C7CDF3}"/>
</file>

<file path=customXml/itemProps2.xml><?xml version="1.0" encoding="utf-8"?>
<ds:datastoreItem xmlns:ds="http://schemas.openxmlformats.org/officeDocument/2006/customXml" ds:itemID="{B058A0DA-592E-4843-ADC8-8ED1E6DAFAC4}"/>
</file>

<file path=customXml/itemProps3.xml><?xml version="1.0" encoding="utf-8"?>
<ds:datastoreItem xmlns:ds="http://schemas.openxmlformats.org/officeDocument/2006/customXml" ds:itemID="{2A41717F-D66F-4F6C-A960-8D91DAC682C4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2026-08-05T17:25:02Z</dcterms:created>
  <dcterms:modified xsi:type="dcterms:W3CDTF">2026-08-05T17:25:02Z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