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2" w:name="literacy-why-govcon-matters"/>
    <w:p>
      <w:pPr>
        <w:pStyle w:val="Heading1"/>
      </w:pPr>
      <w:r>
        <w:t xml:space="preserve">Literacy — Why GovCon Matters</w:t>
      </w:r>
    </w:p>
    <w:p>
      <w:pPr>
        <w:pStyle w:val="FirstParagraph"/>
      </w:pPr>
      <w:r>
        <w:rPr>
          <w:i/>
          <w:iCs/>
        </w:rPr>
        <w:t xml:space="preserve">The mission narrative: what this industry is, what a pursuit actually feels like, and what winning means. Read this before anything else — it is the reason the whole curriculum exists.</w:t>
      </w:r>
    </w:p>
    <w:p>
      <w:pPr>
        <w:pStyle w:val="BodyText"/>
      </w:pPr>
      <w:r>
        <w:t xml:space="preserve">If you have never thought about the federal market, start here. This page is not a reference and it is not a chapter of doctrine. It is the story the curriculum is built on: why the money exists, what a capture feels like from the first read of a solicitation to the debrief, and what it means to win work that keeps a country running.</w:t>
      </w:r>
    </w:p>
    <w:bookmarkStart w:id="20" w:name="the-industry-in-one-honest-paragraph"/>
    <w:p>
      <w:pPr>
        <w:pStyle w:val="Heading2"/>
      </w:pPr>
      <w:r>
        <w:t xml:space="preserve">The industry, in one honest paragraph</w:t>
      </w:r>
    </w:p>
    <w:p>
      <w:pPr>
        <w:pStyle w:val="FirstParagraph"/>
      </w:pPr>
      <w:r>
        <w:t xml:space="preserve">The United States federal government buys — every year — well over half a trillion dollars of goods, services, and research from private companies. That is not one giant contractor. It is hundreds of thousands of solicitations published on public websites, run through a rules-based competition, and awarded to organizations that range from a three-person laboratory in a converted garage to firms with tens of thousands of employees. The government buys because it needs capabilities it does not keep in-house: it does not build all of its own software, run all of its own logistics, or write all of its own training curricula — it buys those things from people who can. And a deliberate share of that money — roughly a quarter of prime contracting dollars — is set aside by law for small businesses. The system exists so that the mission of the government (defense, health, science, infrastructure, border security, and a hundred quieter missions) and the talent of the country (small firms, large firms, universities, laboratories) meet in a market that is published, competitive, and accountable.</w:t>
      </w:r>
    </w:p>
    <w:p>
      <w:pPr>
        <w:pStyle w:val="BodyText"/>
      </w:pPr>
      <w:r>
        <w:t xml:space="preserve">That is the whole industry in one breath. Everything else you will learn — the identifiers, the portals, the pursuit pipeline, the gates, the color teams — is the plumbing that keeps that meeting fair.</w:t>
      </w:r>
    </w:p>
    <w:bookmarkEnd w:id="20"/>
    <w:bookmarkStart w:id="21" w:name="X8b25362f4d8c4b037c38a436c0fb84574caa8c1"/>
    <w:p>
      <w:pPr>
        <w:pStyle w:val="Heading2"/>
      </w:pPr>
      <w:r>
        <w:t xml:space="preserve">Why it exists: the government buys, small companies deliver</w:t>
      </w:r>
    </w:p>
    <w:p>
      <w:pPr>
        <w:pStyle w:val="FirstParagraph"/>
      </w:pPr>
      <w:r>
        <w:t xml:space="preserve">There is nothing inevitable about the shape of this market. Congress could have chosen to staff every agency with enough civil servants to do everything in-house. It did not — deliberately. The government’s job is to govern, not to be the employer of every capability it needs, and a market where private companies compete for public work is how the country has chosen to get the best of both: the accountability of public money spent under published rules, and the speed, innovation, and cost-discipline of the private sector.</w:t>
      </w:r>
    </w:p>
    <w:p>
      <w:pPr>
        <w:pStyle w:val="BodyText"/>
      </w:pPr>
      <w:r>
        <w:t xml:space="preserve">The small-business share is the part students find most surprising, and it is the most important policy to understand. It is not charity. It is a statutory judgment that innovation and resilience live disproportionately in small firms — and that the federal market should not be a private club for a handful of primes. So the Small Business Administration runs a set of programs that</w:t>
      </w:r>
      <w:r>
        <w:t xml:space="preserve"> </w:t>
      </w:r>
      <w:r>
        <w:rPr>
          <w:i/>
          <w:iCs/>
        </w:rPr>
        <w:t xml:space="preserve">narrow the competition</w:t>
      </w:r>
      <w:r>
        <w:t xml:space="preserve">: a set-aside restricts a competition to small businesses; HUBZone, 8(a), WOSB, and VOSB restrict it further to specific classes of small business. The practical effect is a smaller, friendlier pool — and for a student, a career insight: a small company with the right certifications is not begging for scraps; it is walking into a pool the law reserved for it.</w:t>
      </w:r>
    </w:p>
    <w:p>
      <w:pPr>
        <w:pStyle w:val="BodyText"/>
      </w:pPr>
      <w:r>
        <w:t xml:space="preserve">That is the why of this industry. Now the feel of it.</w:t>
      </w:r>
    </w:p>
    <w:bookmarkEnd w:id="21"/>
    <w:bookmarkStart w:id="22" w:name="the-story-arc-of-a-capture"/>
    <w:p>
      <w:pPr>
        <w:pStyle w:val="Heading2"/>
      </w:pPr>
      <w:r>
        <w:t xml:space="preserve">The story arc of a capture</w:t>
      </w:r>
    </w:p>
    <w:p>
      <w:pPr>
        <w:pStyle w:val="FirstParagraph"/>
      </w:pPr>
      <w:r>
        <w:t xml:space="preserve">Every pursuit follows the same arc, and once you have lived it once, you recognize it everywhere. It goes like this:</w:t>
      </w:r>
    </w:p>
    <w:p>
      <w:pPr>
        <w:pStyle w:val="BodyText"/>
      </w:pPr>
      <w:r>
        <w:rPr>
          <w:b/>
          <w:bCs/>
        </w:rPr>
        <w:t xml:space="preserve">The notice.</w:t>
      </w:r>
      <w:r>
        <w:t xml:space="preserve"> </w:t>
      </w:r>
      <w:r>
        <w:t xml:space="preserve">A NOFO or an RFP drops on a public website — usually with a deadline forty-five or sixty days out. Somewhere, an agency has a mission it needs help with and a budget it is allowed to spend. The document is long, and most of it is rules.</w:t>
      </w:r>
    </w:p>
    <w:p>
      <w:pPr>
        <w:pStyle w:val="BodyText"/>
      </w:pPr>
      <w:r>
        <w:rPr>
          <w:b/>
          <w:bCs/>
        </w:rPr>
        <w:t xml:space="preserve">The gut check.</w:t>
      </w:r>
      <w:r>
        <w:t xml:space="preserve"> </w:t>
      </w:r>
      <w:r>
        <w:t xml:space="preserve">A small team reads it twice — once for compliance, once for strategy. Is this the pool we belong in? Can we genuinely win, or are we burnishing someone else’s award? This is the bid/no-bid decision, and the honest version of it saves more money than any other skill in this field. Most teams that say yes at this stage should have said no.</w:t>
      </w:r>
    </w:p>
    <w:p>
      <w:pPr>
        <w:pStyle w:val="BodyText"/>
      </w:pPr>
      <w:r>
        <w:rPr>
          <w:b/>
          <w:bCs/>
        </w:rPr>
        <w:t xml:space="preserve">The capture.</w:t>
      </w:r>
      <w:r>
        <w:t xml:space="preserve"> </w:t>
      </w:r>
      <w:r>
        <w:t xml:space="preserve">The team commits. It builds the win strategy: the theme, the two or three discriminators that are</w:t>
      </w:r>
      <w:r>
        <w:t xml:space="preserve"> </w:t>
      </w:r>
      <w:r>
        <w:rPr>
          <w:i/>
          <w:iCs/>
        </w:rPr>
        <w:t xml:space="preserve">actually true</w:t>
      </w:r>
      <w:r>
        <w:t xml:space="preserve"> </w:t>
      </w:r>
      <w:r>
        <w:t xml:space="preserve">about them and not equally true of everyone else. It fills the ORBITAL — objective, resources, budget, indicators, route, activities, logistics. It studies the agency: what it has bought, what it has complained about, what it says it wants in its own budget documents. The capture work happens in the quiet weeks, and it is where the outcome is decided.</w:t>
      </w:r>
    </w:p>
    <w:p>
      <w:pPr>
        <w:pStyle w:val="BodyText"/>
      </w:pPr>
      <w:r>
        <w:rPr>
          <w:b/>
          <w:bCs/>
        </w:rPr>
        <w:t xml:space="preserve">The all-nighter.</w:t>
      </w:r>
      <w:r>
        <w:t xml:space="preserve"> </w:t>
      </w:r>
      <w:r>
        <w:t xml:space="preserve">Somewhere around the last ten days, the writing begins in earnest. Sections get drafted, chopped, re-drafted. The compliance matrix — the line-by-line map of every requirement to the page that answers it — is the spine that keeps the whole thing from collapsing into a pile of confident prose. The last all-nighter is a rite of passage. It is also, if you have run the process right, mostly unnecessary — which is the joke of the profession, and the sign of a mature one.</w:t>
      </w:r>
    </w:p>
    <w:p>
      <w:pPr>
        <w:pStyle w:val="BodyText"/>
      </w:pPr>
      <w:r>
        <w:rPr>
          <w:b/>
          <w:bCs/>
        </w:rPr>
        <w:t xml:space="preserve">The color team.</w:t>
      </w:r>
      <w:r>
        <w:t xml:space="preserve"> </w:t>
      </w:r>
      <w:r>
        <w:t xml:space="preserve">Before it ships, the proposal is read by people who did not write it — a structured sequence of reviews, each with a different job: does every requirement have a home? Would an evaluator score this the way we think? Would an executive actually submit it? Would a hostile reader pull our score down? The discipline is in the sequence, not any single review. This is where a good team catches the mistake that would have disqualified it, and where a great team catches the weakness that would have cost it the win.</w:t>
      </w:r>
    </w:p>
    <w:p>
      <w:pPr>
        <w:pStyle w:val="BodyText"/>
      </w:pPr>
      <w:r>
        <w:rPr>
          <w:b/>
          <w:bCs/>
        </w:rPr>
        <w:t xml:space="preserve">The submit.</w:t>
      </w:r>
      <w:r>
        <w:t xml:space="preserve"> </w:t>
      </w:r>
      <w:r>
        <w:t xml:space="preserve">A portal, a checklist, a countdown, and a moment of silence after the button. The relief lasts about a day.</w:t>
      </w:r>
    </w:p>
    <w:p>
      <w:pPr>
        <w:pStyle w:val="BodyText"/>
      </w:pPr>
      <w:r>
        <w:rPr>
          <w:b/>
          <w:bCs/>
        </w:rPr>
        <w:t xml:space="preserve">The win.</w:t>
      </w:r>
      <w:r>
        <w:t xml:space="preserve"> </w:t>
      </w:r>
      <w:r>
        <w:t xml:space="preserve">If the team was right about the theme, the discriminators, the price, and the compliance, the agency agrees. The award notice arrives — an email, a number, sometimes a phone call. It is never anticlimactic.</w:t>
      </w:r>
    </w:p>
    <w:p>
      <w:pPr>
        <w:pStyle w:val="BodyText"/>
      </w:pPr>
      <w:r>
        <w:rPr>
          <w:b/>
          <w:bCs/>
        </w:rPr>
        <w:t xml:space="preserve">The debrief.</w:t>
      </w:r>
      <w:r>
        <w:t xml:space="preserve"> </w:t>
      </w:r>
      <w:r>
        <w:t xml:space="preserve">Whether you win or lose, the government explains itself. Winners hear what they did well. Losers hear, in the agency’s own words, what the winners did better — and what the agency actually valued. The debrief is the most underrated learning instrument in the entire market, because it is the one place your self-assessment meets the evaluation that mattered.</w:t>
      </w:r>
    </w:p>
    <w:p>
      <w:pPr>
        <w:pStyle w:val="BodyText"/>
      </w:pPr>
      <w:r>
        <w:rPr>
          <w:b/>
          <w:bCs/>
        </w:rPr>
        <w:t xml:space="preserve">The next one.</w:t>
      </w:r>
      <w:r>
        <w:t xml:space="preserve"> </w:t>
      </w:r>
      <w:r>
        <w:t xml:space="preserve">And then the loop closes, because the market does not stop. The past-performance record from this pursuit becomes the evidence in the next one. The debrief becomes the intelligence that sharpens the next capture. The flywheel turns.</w:t>
      </w:r>
    </w:p>
    <w:bookmarkEnd w:id="22"/>
    <w:bookmarkStart w:id="23" w:name="what-it-means-to-win-for-a-us-company"/>
    <w:p>
      <w:pPr>
        <w:pStyle w:val="Heading2"/>
      </w:pPr>
      <w:r>
        <w:t xml:space="preserve">What it means to win for a US company</w:t>
      </w:r>
    </w:p>
    <w:p>
      <w:pPr>
        <w:pStyle w:val="FirstParagraph"/>
      </w:pPr>
      <w:r>
        <w:t xml:space="preserve">A win is not an abstract</w:t>
      </w:r>
      <w:r>
        <w:t xml:space="preserve"> </w:t>
      </w:r>
      <w:r>
        <w:t xml:space="preserve">“</w:t>
      </w:r>
      <w:r>
        <w:t xml:space="preserve">contract number.</w:t>
      </w:r>
      <w:r>
        <w:t xml:space="preserve">”</w:t>
      </w:r>
      <w:r>
        <w:t xml:space="preserve"> </w:t>
      </w:r>
      <w:r>
        <w:t xml:space="preserve">Trace what actually happens when a small firm wins:</w:t>
      </w:r>
    </w:p>
    <w:p>
      <w:pPr>
        <w:pStyle w:val="Compact"/>
        <w:numPr>
          <w:ilvl w:val="0"/>
          <w:numId w:val="1001"/>
        </w:numPr>
      </w:pPr>
      <w:r>
        <w:rPr>
          <w:b/>
          <w:bCs/>
        </w:rPr>
        <w:t xml:space="preserve">Jobs.</w:t>
      </w:r>
      <w:r>
        <w:t xml:space="preserve"> </w:t>
      </w:r>
      <w:r>
        <w:t xml:space="preserve">A win funds salaries for the engineers, proposal writers, program managers, and finance staff whose names are on the org chart. For a firm in a small town, a single award can be the difference between a hiring round and a layoff round. Federal work is one of the few markets where a company in Ravenswood, West Virginia, can compete on the same terms as a company in Arlington, Virginia — and where winning genuinely changes the economic life of a town.</w:t>
      </w:r>
    </w:p>
    <w:p>
      <w:pPr>
        <w:pStyle w:val="Compact"/>
        <w:numPr>
          <w:ilvl w:val="0"/>
          <w:numId w:val="1001"/>
        </w:numPr>
      </w:pPr>
      <w:r>
        <w:rPr>
          <w:b/>
          <w:bCs/>
        </w:rPr>
        <w:t xml:space="preserve">Mission.</w:t>
      </w:r>
      <w:r>
        <w:t xml:space="preserve"> </w:t>
      </w:r>
      <w:r>
        <w:t xml:space="preserve">The work is not filler. It is cyber defense for a port, water-quality monitoring for a region, logistics for a military deployment, an SBIR prototype for a national lab. The people on the winning team go to work every morning on a mission the country decided was worth funding — that is a different kind of motivation than most jobs offer, and it is real.</w:t>
      </w:r>
    </w:p>
    <w:p>
      <w:pPr>
        <w:pStyle w:val="Compact"/>
        <w:numPr>
          <w:ilvl w:val="0"/>
          <w:numId w:val="1001"/>
        </w:numPr>
      </w:pPr>
      <w:r>
        <w:rPr>
          <w:b/>
          <w:bCs/>
        </w:rPr>
        <w:t xml:space="preserve">National capability.</w:t>
      </w:r>
      <w:r>
        <w:t xml:space="preserve"> </w:t>
      </w:r>
      <w:r>
        <w:t xml:space="preserve">Here is the quiet part, and it is the part that keeps people in this field for thirty years: the sum of these awards</w:t>
      </w:r>
      <w:r>
        <w:t xml:space="preserve"> </w:t>
      </w:r>
      <w:r>
        <w:rPr>
          <w:i/>
          <w:iCs/>
        </w:rPr>
        <w:t xml:space="preserve">is</w:t>
      </w:r>
      <w:r>
        <w:t xml:space="preserve"> </w:t>
      </w:r>
      <w:r>
        <w:t xml:space="preserve">the national capability. When a crisis hits and the country needs a surge of expertise, it reaches for the companies that have spent years being tested in this market. The federal contracting base is the country’s bench, and every win adds to it. Winning a federal contract is how a private company becomes part of the public infrastructure.</w:t>
      </w:r>
    </w:p>
    <w:p>
      <w:pPr>
        <w:pStyle w:val="FirstParagraph"/>
      </w:pPr>
      <w:r>
        <w:t xml:space="preserve">None of this requires winning a giant prime contract. A set-aside for a small firm, a task order, a Phase I SBIR — each one is a real piece of the mission and a real step in the flywheel. The size of the win matters less than the fact that the win happened, performed, and became evidence.</w:t>
      </w:r>
    </w:p>
    <w:bookmarkEnd w:id="23"/>
    <w:bookmarkStart w:id="24" w:name="who-wins-the-honesty-note"/>
    <w:p>
      <w:pPr>
        <w:pStyle w:val="Heading2"/>
      </w:pPr>
      <w:r>
        <w:t xml:space="preserve">Who wins (the honesty note)</w:t>
      </w:r>
    </w:p>
    <w:p>
      <w:pPr>
        <w:pStyle w:val="FirstParagraph"/>
      </w:pPr>
      <w:r>
        <w:t xml:space="preserve">Here is the part this curriculum refuses to soften:</w:t>
      </w:r>
      <w:r>
        <w:t xml:space="preserve"> </w:t>
      </w:r>
      <w:r>
        <w:rPr>
          <w:b/>
          <w:bCs/>
        </w:rPr>
        <w:t xml:space="preserve">the market is a pipeline, not a lottery.</w:t>
      </w:r>
      <w:r>
        <w:t xml:space="preserve"> </w:t>
      </w:r>
      <w:r>
        <w:t xml:space="preserve">Anyone who tells you wins come down to luck is selling you something. The published record — the debriefs, the award histories, the patterns of who wins what — shows the same lesson again and again: the winners read the solicitation like a contract (which it is), built their proposal on a true and repeated theme, priced from market evidence rather than hope, and ran the review sequence honestly. The losers did not lose because they were unlucky; they lost because they misread a requirement, over-priced, under-bid, skipped the compliance check, or convinced themselves their baseline was a discriminator.</w:t>
      </w:r>
    </w:p>
    <w:p>
      <w:pPr>
        <w:pStyle w:val="BodyText"/>
      </w:pPr>
      <w:r>
        <w:t xml:space="preserve">That is good news. It means the outcome is learnable. A person who learns to read a solicitation, build a compliance matrix, choose discriminators that are true, and price to win is a person who will win — not every time, but consistently. The discipline is the luck. This curriculum exists to teach that discipline, and the whole of it is the practice of getting from</w:t>
      </w:r>
      <w:r>
        <w:t xml:space="preserve"> </w:t>
      </w:r>
      <w:r>
        <w:t xml:space="preserve">“</w:t>
      </w:r>
      <w:r>
        <w:t xml:space="preserve">we hope we win</w:t>
      </w:r>
      <w:r>
        <w:t xml:space="preserve">”</w:t>
      </w:r>
      <w:r>
        <w:t xml:space="preserve"> </w:t>
      </w:r>
      <w:r>
        <w:t xml:space="preserve">to</w:t>
      </w:r>
      <w:r>
        <w:t xml:space="preserve"> </w:t>
      </w:r>
      <w:r>
        <w:t xml:space="preserve">“</w:t>
      </w:r>
      <w:r>
        <w:t xml:space="preserve">we have done the work that makes winning likely.</w:t>
      </w:r>
      <w:r>
        <w:t xml:space="preserve">”</w:t>
      </w:r>
    </w:p>
    <w:bookmarkEnd w:id="24"/>
    <w:bookmarkStart w:id="30" w:name="four-short-stories-from-the-road"/>
    <w:p>
      <w:pPr>
        <w:pStyle w:val="Heading2"/>
      </w:pPr>
      <w:r>
        <w:t xml:space="preserve">Four short stories from the road</w:t>
      </w:r>
    </w:p>
    <w:p>
      <w:pPr>
        <w:pStyle w:val="FirstParagraph"/>
      </w:pPr>
      <w:r>
        <w:t xml:space="preserve">These four stories are the patterns behind the whole curriculum. They are anonymized and patterned on publicly available debriefs and press — no specific company, award, or agency is real; every lesson is. The full cases live in the</w:t>
      </w:r>
      <w:r>
        <w:t xml:space="preserve"> </w:t>
      </w:r>
      <w:hyperlink r:id="rId25">
        <w:r>
          <w:rPr>
            <w:rStyle w:val="Hyperlink"/>
          </w:rPr>
          <w:t xml:space="preserve">case library</w:t>
        </w:r>
      </w:hyperlink>
      <w:r>
        <w:t xml:space="preserve">.</w:t>
      </w:r>
    </w:p>
    <w:p>
      <w:pPr>
        <w:pStyle w:val="BodyText"/>
      </w:pPr>
      <w:r>
        <w:rPr>
          <w:b/>
          <w:bCs/>
        </w:rPr>
        <w:t xml:space="preserve">1. The compliance matrix that won the IDIQ.</w:t>
      </w:r>
      <w:r>
        <w:t xml:space="preserve"> </w:t>
      </w:r>
      <w:r>
        <w:t xml:space="preserve">A small engineering firm in the Mid-Atlantic had spent a decade as a subcontractor to larger primes. When a set-aside IDIQ for facilities-engineering support was announced, it decided, for the first time, to bid as the prime. It had no marquee differentiator — just a team that had run the discipline: one win theme repeated in every section, a compliance matrix that mapped every requirement in Section L to the page that answered it, and past performance written as evidence rather than a resume. In the debrief, the contracting officer’s message was quietly damning to the rest of the field: most competitors had simply not answered a required subsection. The winner had answered all of them.</w:t>
      </w:r>
      <w:r>
        <w:t xml:space="preserve"> </w:t>
      </w:r>
      <w:r>
        <w:rPr>
          <w:b/>
          <w:bCs/>
        </w:rPr>
        <w:t xml:space="preserve">The lesson:</w:t>
      </w:r>
      <w:r>
        <w:t xml:space="preserve"> </w:t>
      </w:r>
      <w:r>
        <w:t xml:space="preserve">compliance is not paperwork; it is the difference between being considered and being eliminated. (Full case:</w:t>
      </w:r>
      <w:r>
        <w:t xml:space="preserve"> </w:t>
      </w:r>
      <w:hyperlink r:id="rId26">
        <w:r>
          <w:rPr>
            <w:rStyle w:val="Hyperlink"/>
          </w:rPr>
          <w:t xml:space="preserve">case-01</w:t>
        </w:r>
      </w:hyperlink>
      <w:r>
        <w:t xml:space="preserve">.)</w:t>
      </w:r>
    </w:p>
    <w:p>
      <w:pPr>
        <w:pStyle w:val="BodyText"/>
      </w:pPr>
      <w:r>
        <w:rPr>
          <w:b/>
          <w:bCs/>
        </w:rPr>
        <w:t xml:space="preserve">2. The price that priced them out.</w:t>
      </w:r>
      <w:r>
        <w:t xml:space="preserve"> </w:t>
      </w:r>
      <w:r>
        <w:t xml:space="preserve">A capable IT-services company bid a best-value task order with a strong technical proposal and a price well above what the agency had budgeted, believing its quality would justify the premium. It lost. In the debrief the agency explained that price realism had been evaluated — and that the winning offers clustered in a narrow band the loser had never researched. The loser’s technical rating had been good; it had just not been good</w:t>
      </w:r>
      <w:r>
        <w:t xml:space="preserve"> </w:t>
      </w:r>
      <w:r>
        <w:rPr>
          <w:i/>
          <w:iCs/>
        </w:rPr>
        <w:t xml:space="preserve">enough to pay for</w:t>
      </w:r>
      <w:r>
        <w:t xml:space="preserve">.</w:t>
      </w:r>
      <w:r>
        <w:t xml:space="preserve"> </w:t>
      </w:r>
      <w:r>
        <w:rPr>
          <w:b/>
          <w:bCs/>
        </w:rPr>
        <w:t xml:space="preserve">The lesson:</w:t>
      </w:r>
      <w:r>
        <w:t xml:space="preserve"> </w:t>
      </w:r>
      <w:r>
        <w:t xml:space="preserve">price-to-win is a position built from market evidence, not a guess — and you can lose on the high side as surely as on the low side. (Full case:</w:t>
      </w:r>
      <w:r>
        <w:t xml:space="preserve"> </w:t>
      </w:r>
      <w:hyperlink r:id="rId27">
        <w:r>
          <w:rPr>
            <w:rStyle w:val="Hyperlink"/>
          </w:rPr>
          <w:t xml:space="preserve">case-02</w:t>
        </w:r>
      </w:hyperlink>
      <w:r>
        <w:t xml:space="preserve">.)</w:t>
      </w:r>
    </w:p>
    <w:p>
      <w:pPr>
        <w:pStyle w:val="BodyText"/>
      </w:pPr>
      <w:r>
        <w:rPr>
          <w:b/>
          <w:bCs/>
        </w:rPr>
        <w:t xml:space="preserve">3. The team that was smarter than its size.</w:t>
      </w:r>
      <w:r>
        <w:t xml:space="preserve"> </w:t>
      </w:r>
      <w:r>
        <w:t xml:space="preserve">A small firm had deep mission expertise and a certification that opened the right pool — and no past performance of the required size, and no way to grow it in time. Rather than bid solo and lose (as a previous attempt had), it formed a joint venture with a larger partner that brought the capacity and the record. The JV won, because the division of labor was real: the small firm ran the mission content, the partner ran the scale, and the proposal read like a team with a plan, not a papering exercise.</w:t>
      </w:r>
      <w:r>
        <w:t xml:space="preserve"> </w:t>
      </w:r>
      <w:r>
        <w:rPr>
          <w:b/>
          <w:bCs/>
        </w:rPr>
        <w:t xml:space="preserve">The lesson:</w:t>
      </w:r>
      <w:r>
        <w:t xml:space="preserve"> </w:t>
      </w:r>
      <w:r>
        <w:t xml:space="preserve">when you cannot grow capacity in time, you can buy it with partnership — but a teaming arrangement only wins if the roles are real. (Full case:</w:t>
      </w:r>
      <w:r>
        <w:t xml:space="preserve"> </w:t>
      </w:r>
      <w:hyperlink r:id="rId28">
        <w:r>
          <w:rPr>
            <w:rStyle w:val="Hyperlink"/>
          </w:rPr>
          <w:t xml:space="preserve">case-03</w:t>
        </w:r>
      </w:hyperlink>
      <w:r>
        <w:t xml:space="preserve">.)</w:t>
      </w:r>
    </w:p>
    <w:p>
      <w:pPr>
        <w:pStyle w:val="BodyText"/>
      </w:pPr>
      <w:r>
        <w:rPr>
          <w:b/>
          <w:bCs/>
        </w:rPr>
        <w:t xml:space="preserve">4. The ghost theme.</w:t>
      </w:r>
      <w:r>
        <w:t xml:space="preserve"> </w:t>
      </w:r>
      <w:r>
        <w:t xml:space="preserve">A seasoned incumbent, convinced it was the front-runner in a recompete, wrote a proposal that led with its own greatest strength: incumbent continuity. It lost to a competitor whose entire proposal was built on a theme the incumbent had never even noticed — a shift in the agency’s stated priorities that showed up in its budget documents, its own reports, and the questions it had asked in the Q&amp;A. The winner’s discriminators were invisible to the loser’s self-assessment, because the loser had read the solicitation for what it wanted to be true, not for what the agency was actually saying.</w:t>
      </w:r>
      <w:r>
        <w:t xml:space="preserve"> </w:t>
      </w:r>
      <w:r>
        <w:rPr>
          <w:b/>
          <w:bCs/>
        </w:rPr>
        <w:t xml:space="preserve">The lesson:</w:t>
      </w:r>
      <w:r>
        <w:t xml:space="preserve"> </w:t>
      </w:r>
      <w:r>
        <w:t xml:space="preserve">a ghost theme is a win theme your competitors never saw — and you find it by reading the evaluation the way the agency will apply it, not the way you wish it would. (Full case:</w:t>
      </w:r>
      <w:r>
        <w:t xml:space="preserve"> </w:t>
      </w:r>
      <w:hyperlink r:id="rId29">
        <w:r>
          <w:rPr>
            <w:rStyle w:val="Hyperlink"/>
          </w:rPr>
          <w:t xml:space="preserve">case-04</w:t>
        </w:r>
      </w:hyperlink>
      <w:r>
        <w:t xml:space="preserve">.)</w:t>
      </w:r>
    </w:p>
    <w:bookmarkEnd w:id="30"/>
    <w:bookmarkStart w:id="31" w:name="where-this-leaves-you"/>
    <w:p>
      <w:pPr>
        <w:pStyle w:val="Heading2"/>
      </w:pPr>
      <w:r>
        <w:t xml:space="preserve">Where this leaves you</w:t>
      </w:r>
    </w:p>
    <w:p>
      <w:pPr>
        <w:pStyle w:val="FirstParagraph"/>
      </w:pPr>
      <w:r>
        <w:t xml:space="preserve">The federal market is one of the largest, most transparent, most rule-bound markets on earth — and one of the few where a small company can genuinely change its trajectory with discipline and skill. If you are reading this as a student, a working professional, or a prospective founder, you are not entering a lottery. You are learning a trade, and the trade is teachable.</w:t>
      </w:r>
    </w:p>
    <w:p>
      <w:pPr>
        <w:pStyle w:val="BodyText"/>
      </w:pPr>
      <w:r>
        <w:t xml:space="preserve">Start with the doctrine, keep the literacy open, and work the cases. The</w:t>
      </w:r>
      <w:r>
        <w:t xml:space="preserve"> </w:t>
      </w:r>
      <w:hyperlink r:id="rId25">
        <w:r>
          <w:rPr>
            <w:rStyle w:val="Hyperlink"/>
          </w:rPr>
          <w:t xml:space="preserve">case library</w:t>
        </w:r>
      </w:hyperlink>
      <w:r>
        <w:t xml:space="preserve"> </w:t>
      </w:r>
      <w:r>
        <w:t xml:space="preserve">is where the discipline meets the road — and every case in it ends with a debrief, because in this market the debrief is where winners and losers both learn the next thing.</w:t>
      </w:r>
    </w:p>
    <w:p>
      <w:pPr>
        <w:pStyle w:val="BodyText"/>
      </w:pPr>
      <w:r>
        <w:rPr>
          <w:b/>
          <w:bCs/>
        </w:rPr>
        <w:t xml:space="preserve">The one-sentence summary: the government buys because it needs the country’s capability, small companies are a deliberate part of that buying, winning is a pipeline not a lottery, and the debrief is the school — so go learn the discipline, and go win for your company.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26" Type="http://schemas.openxmlformats.org/officeDocument/2006/relationships/hyperlink" Target="../case-library/case-01.md" TargetMode="External"/><Relationship Id="rId3" Type="http://schemas.openxmlformats.org/officeDocument/2006/relationships/settings" Target="settings.xml"/><Relationship Id="rId7" Type="http://schemas.openxmlformats.org/officeDocument/2006/relationships/footnotes" Target="footnotes.xml"/><Relationship Id="rId25" Type="http://schemas.openxmlformats.org/officeDocument/2006/relationships/hyperlink" Target="../case-library/README.md" TargetMode="External"/><Relationship Id="rId2" Type="http://schemas.openxmlformats.org/officeDocument/2006/relationships/styles" Target="styles.xml"/><Relationship Id="rId29" Type="http://schemas.openxmlformats.org/officeDocument/2006/relationships/hyperlink" Target="../case-library/case-04.md" TargetMode="External"/><Relationship Id="rId1" Type="http://schemas.openxmlformats.org/officeDocument/2006/relationships/numbering" Target="numbering.xml"/><Relationship Id="rId6" Type="http://schemas.openxmlformats.org/officeDocument/2006/relationships/theme" Target="theme/theme1.xml"/><Relationship Id="rId32" Type="http://schemas.openxmlformats.org/officeDocument/2006/relationships/customXml" Target="../customXml/item3.xml"/><Relationship Id="rId5" Type="http://schemas.openxmlformats.org/officeDocument/2006/relationships/fontTable" Target="fontTable.xml"/><Relationship Id="rId28" Type="http://schemas.openxmlformats.org/officeDocument/2006/relationships/hyperlink" Target="../case-library/case-03.md" TargetMode="External"/><Relationship Id="rId31" Type="http://schemas.openxmlformats.org/officeDocument/2006/relationships/customXml" Target="../customXml/item2.xml"/><Relationship Id="rId4" Type="http://schemas.openxmlformats.org/officeDocument/2006/relationships/webSettings" Target="webSettings.xml"/><Relationship Id="rId27" Type="http://schemas.openxmlformats.org/officeDocument/2006/relationships/hyperlink" Target="../case-library/case-02.md" TargetMode="External"/><Relationship Id="rId30" Type="http://schemas.openxmlformats.org/officeDocument/2006/relationships/customXml" Target="../customXml/item1.xml"/></Relationships>
</file>

<file path=word/_rels/footnotes.xml.rels><?xml version="1.0" encoding="UTF-8"?><Relationships xmlns="http://schemas.openxmlformats.org/package/2006/relationships"><Relationship Type="http://schemas.openxmlformats.org/officeDocument/2006/relationships/hyperlink" Id="rId25" Target="../case-library/README.md" TargetMode="External" /><Relationship Type="http://schemas.openxmlformats.org/officeDocument/2006/relationships/hyperlink" Id="rId26" Target="../case-library/case-01.md" TargetMode="External" /><Relationship Type="http://schemas.openxmlformats.org/officeDocument/2006/relationships/hyperlink" Id="rId27" Target="../case-library/case-02.md" TargetMode="External" /><Relationship Type="http://schemas.openxmlformats.org/officeDocument/2006/relationships/hyperlink" Id="rId28" Target="../case-library/case-03.md" TargetMode="External" /><Relationship Type="http://schemas.openxmlformats.org/officeDocument/2006/relationships/hyperlink" Id="rId29" Target="../case-library/case-04.md"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8F89D4DBC9164EAAD077F6A65CDF0A" ma:contentTypeVersion="27" ma:contentTypeDescription="Create a new document." ma:contentTypeScope="" ma:versionID="7fef060ed95bf7b4c871fb5590ffba56">
  <xsd:schema xmlns:xsd="http://www.w3.org/2001/XMLSchema" xmlns:xs="http://www.w3.org/2001/XMLSchema" xmlns:p="http://schemas.microsoft.com/office/2006/metadata/properties" xmlns:ns2="8776939f-5711-4b7e-8619-ef1d6035b8e5" xmlns:ns3="94a181e0-1203-41b9-8ae0-2dcd1a719fc0" targetNamespace="http://schemas.microsoft.com/office/2006/metadata/properties" ma:root="true" ma:fieldsID="1ac12e87290b2432eb1ed38730e28d76" ns2:_="" ns3:_="">
    <xsd:import namespace="8776939f-5711-4b7e-8619-ef1d6035b8e5"/>
    <xsd:import namespace="94a181e0-1203-41b9-8ae0-2dcd1a719fc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2:MediaServiceLocation" minOccurs="0"/>
                <xsd:element ref="ns2:MediaServiceAutoKeyPoints" minOccurs="0"/>
                <xsd:element ref="ns2:MediaServiceKeyPoints" minOccurs="0"/>
                <xsd:element ref="ns2:MediaServiceGenerationTime" minOccurs="0"/>
                <xsd:element ref="ns2:MediaServiceEventHashCode" minOccurs="0"/>
                <xsd:element ref="ns3:SharedWithUsers" minOccurs="0"/>
                <xsd:element ref="ns3:SharedWithDetails" minOccurs="0"/>
                <xsd:element ref="ns2:ynoy" minOccurs="0"/>
                <xsd:element ref="ns2:bb08d3d8-654e-405a-bd2f-eb04bd0c1711CountryOrRegion" minOccurs="0"/>
                <xsd:element ref="ns2:bb08d3d8-654e-405a-bd2f-eb04bd0c1711State" minOccurs="0"/>
                <xsd:element ref="ns2:bb08d3d8-654e-405a-bd2f-eb04bd0c1711City" minOccurs="0"/>
                <xsd:element ref="ns2:bb08d3d8-654e-405a-bd2f-eb04bd0c1711PostalCode" minOccurs="0"/>
                <xsd:element ref="ns2:bb08d3d8-654e-405a-bd2f-eb04bd0c1711Street" minOccurs="0"/>
                <xsd:element ref="ns2:bb08d3d8-654e-405a-bd2f-eb04bd0c1711GeoLoc" minOccurs="0"/>
                <xsd:element ref="ns2:bb08d3d8-654e-405a-bd2f-eb04bd0c1711DispName"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Budge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76939f-5711-4b7e-8619-ef1d6035b8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ynoy" ma:index="19" nillable="true" ma:displayName="Location" ma:internalName="ynoy">
      <xsd:simpleType>
        <xsd:restriction base="dms:Unknown"/>
      </xsd:simpleType>
    </xsd:element>
    <xsd:element name="bb08d3d8-654e-405a-bd2f-eb04bd0c1711CountryOrRegion" ma:index="20" nillable="true" ma:displayName="Location: Country/Region" ma:internalName="CountryOrRegion" ma:readOnly="true">
      <xsd:simpleType>
        <xsd:restriction base="dms:Text"/>
      </xsd:simpleType>
    </xsd:element>
    <xsd:element name="bb08d3d8-654e-405a-bd2f-eb04bd0c1711State" ma:index="21" nillable="true" ma:displayName="Location: State" ma:internalName="State" ma:readOnly="true">
      <xsd:simpleType>
        <xsd:restriction base="dms:Text"/>
      </xsd:simpleType>
    </xsd:element>
    <xsd:element name="bb08d3d8-654e-405a-bd2f-eb04bd0c1711City" ma:index="22" nillable="true" ma:displayName="Location: City" ma:internalName="City" ma:readOnly="true">
      <xsd:simpleType>
        <xsd:restriction base="dms:Text"/>
      </xsd:simpleType>
    </xsd:element>
    <xsd:element name="bb08d3d8-654e-405a-bd2f-eb04bd0c1711PostalCode" ma:index="23" nillable="true" ma:displayName="Location: Postal Code" ma:internalName="PostalCode" ma:readOnly="true">
      <xsd:simpleType>
        <xsd:restriction base="dms:Text"/>
      </xsd:simpleType>
    </xsd:element>
    <xsd:element name="bb08d3d8-654e-405a-bd2f-eb04bd0c1711Street" ma:index="24" nillable="true" ma:displayName="Location: Street" ma:internalName="Street" ma:readOnly="true">
      <xsd:simpleType>
        <xsd:restriction base="dms:Text"/>
      </xsd:simpleType>
    </xsd:element>
    <xsd:element name="bb08d3d8-654e-405a-bd2f-eb04bd0c1711GeoLoc" ma:index="25" nillable="true" ma:displayName="Location: Coordinates" ma:internalName="GeoLoc" ma:readOnly="true">
      <xsd:simpleType>
        <xsd:restriction base="dms:Unknown"/>
      </xsd:simpleType>
    </xsd:element>
    <xsd:element name="bb08d3d8-654e-405a-bd2f-eb04bd0c1711DispName" ma:index="26" nillable="true" ma:displayName="Location: Name" ma:internalName="DispName" ma:readOnly="true">
      <xsd:simpleType>
        <xsd:restriction base="dms:Text"/>
      </xsd:simpleType>
    </xsd:element>
    <xsd:element name="MediaLengthInSeconds" ma:index="27" nillable="true" ma:displayName="Length (seconds)" ma:internalName="MediaLengthInSeconds" ma:readOnly="true">
      <xsd:simpleType>
        <xsd:restriction base="dms:Unknown"/>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52472cf3-6fa7-482d-9f4f-6fbad5979505" ma:termSetId="09814cd3-568e-fe90-9814-8d621ff8fb84" ma:anchorId="fba54fb3-c3e1-fe81-a776-ca4b69148c4d" ma:open="true" ma:isKeyword="false">
      <xsd:complexType>
        <xsd:sequence>
          <xsd:element ref="pc:Terms" minOccurs="0" maxOccurs="1"/>
        </xsd:sequence>
      </xsd:complex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Budget" ma:index="33" nillable="true" ma:displayName="Budget" ma:format="Dropdown" ma:internalName="Budge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4a181e0-1203-41b9-8ae0-2dcd1a719fc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30" nillable="true" ma:displayName="Taxonomy Catch All Column" ma:hidden="true" ma:list="{6bd40d36-168b-49d0-9c35-89ec5f868836}" ma:internalName="TaxCatchAll" ma:showField="CatchAllData" ma:web="94a181e0-1203-41b9-8ae0-2dcd1a719f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noy xmlns="8776939f-5711-4b7e-8619-ef1d6035b8e5" xsi:nil="true"/>
    <Budget xmlns="8776939f-5711-4b7e-8619-ef1d6035b8e5" xsi:nil="true"/>
    <lcf76f155ced4ddcb4097134ff3c332f xmlns="8776939f-5711-4b7e-8619-ef1d6035b8e5">
      <Terms xmlns="http://schemas.microsoft.com/office/infopath/2007/PartnerControls"/>
    </lcf76f155ced4ddcb4097134ff3c332f>
    <TaxCatchAll xmlns="94a181e0-1203-41b9-8ae0-2dcd1a719fc0" xsi:nil="true"/>
  </documentManagement>
</p:properties>
</file>

<file path=customXml/itemProps1.xml><?xml version="1.0" encoding="utf-8"?>
<ds:datastoreItem xmlns:ds="http://schemas.openxmlformats.org/officeDocument/2006/customXml" ds:itemID="{F9ED91F1-A2FF-4293-86CE-D09D261987B0}"/>
</file>

<file path=customXml/itemProps2.xml><?xml version="1.0" encoding="utf-8"?>
<ds:datastoreItem xmlns:ds="http://schemas.openxmlformats.org/officeDocument/2006/customXml" ds:itemID="{741A1F3E-488B-4287-A8D5-6A74AA91971D}"/>
</file>

<file path=customXml/itemProps3.xml><?xml version="1.0" encoding="utf-8"?>
<ds:datastoreItem xmlns:ds="http://schemas.openxmlformats.org/officeDocument/2006/customXml" ds:itemID="{79788841-F3E6-4531-AFA2-67D433B56E41}"/>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2026-08-05T17:25:01Z</dcterms:created>
  <dcterms:modified xsi:type="dcterms:W3CDTF">2026-08-05T17:25:01Z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0x010100D88F89D4DBC9164EAAD077F6A65CDF0A</vt:lpwstr>
  </property>
</Properties>
</file>