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literacy-how-to-read-an-rfp"/>
    <w:p>
      <w:pPr>
        <w:pStyle w:val="Heading1"/>
      </w:pPr>
      <w:r>
        <w:t xml:space="preserve">Literacy — How to Read an RFP</w:t>
      </w:r>
    </w:p>
    <w:p>
      <w:pPr>
        <w:pStyle w:val="FirstParagraph"/>
      </w:pPr>
      <w:r>
        <w:rPr>
          <w:i/>
          <w:iCs/>
        </w:rPr>
        <w:t xml:space="preserve">The federal contract solicitation is the most standardized document in this discipline. Once you can map one RFP, you can map them all. This page is your section-by-section map — keep it open the first few times you read a real one.</w:t>
      </w:r>
    </w:p>
    <w:bookmarkStart w:id="20" w:name="before-you-start"/>
    <w:p>
      <w:pPr>
        <w:pStyle w:val="Heading2"/>
      </w:pPr>
      <w:r>
        <w:t xml:space="preserve">Before you start</w:t>
      </w:r>
    </w:p>
    <w:p>
      <w:pPr>
        <w:pStyle w:val="FirstParagraph"/>
      </w:pPr>
      <w:r>
        <w:t xml:space="preserve">Take a breath. An RFP is long, dense, and written by committee. Nobody reads it front-to-back once. Professionals read it in three passes: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15-minute scan</w:t>
      </w:r>
      <w:r>
        <w:t xml:space="preserve"> </w:t>
      </w:r>
      <w:r>
        <w:t xml:space="preserve">— What is being bought? What is the deadline? What are the evaluation criteria? Am I eligible? (Decision: bid or no-bid?)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compliance pass</w:t>
      </w:r>
      <w:r>
        <w:t xml:space="preserve"> </w:t>
      </w:r>
      <w:r>
        <w:t xml:space="preserve">— A checklist of every</w:t>
      </w:r>
      <w:r>
        <w:t xml:space="preserve"> </w:t>
      </w:r>
      <w:r>
        <w:t xml:space="preserve">“</w:t>
      </w:r>
      <w:r>
        <w:t xml:space="preserve">shall,</w:t>
      </w:r>
      <w:r>
        <w:t xml:space="preserve">”</w:t>
      </w:r>
      <w:r>
        <w:t xml:space="preserve"> </w:t>
      </w:r>
      <w:r>
        <w:t xml:space="preserve">page limit, and required format. This becomes your compliance matrix.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strategy pass</w:t>
      </w:r>
      <w:r>
        <w:t xml:space="preserve"> </w:t>
      </w:r>
      <w:r>
        <w:t xml:space="preserve">— What does the agency actually care about? Where are the evaluation weights? What story must the proposal tell?</w:t>
      </w:r>
    </w:p>
    <w:bookmarkEnd w:id="20"/>
    <w:bookmarkStart w:id="21" w:name="the-standard-anatomy-sections-am"/>
    <w:p>
      <w:pPr>
        <w:pStyle w:val="Heading2"/>
      </w:pPr>
      <w:r>
        <w:t xml:space="preserve">The standard anatomy (Sections A–M)</w:t>
      </w:r>
    </w:p>
    <w:p>
      <w:pPr>
        <w:pStyle w:val="FirstParagraph"/>
      </w:pPr>
      <w:r>
        <w:t xml:space="preserve">Most federal contract RFPs follow the</w:t>
      </w:r>
      <w:r>
        <w:t xml:space="preserve"> </w:t>
      </w:r>
      <w:r>
        <w:rPr>
          <w:b/>
          <w:bCs/>
        </w:rPr>
        <w:t xml:space="preserve">uniform contract format</w:t>
      </w:r>
      <w:r>
        <w:t xml:space="preserve">: Sections A through M. Agencies adapt it, but the skeleton is dependable. The two sections to know by heart are</w:t>
      </w:r>
      <w:r>
        <w:t xml:space="preserve"> </w:t>
      </w:r>
      <w:r>
        <w:rPr>
          <w:b/>
          <w:bCs/>
        </w:rPr>
        <w:t xml:space="preserve">L</w:t>
      </w:r>
      <w:r>
        <w:t xml:space="preserve"> </w:t>
      </w:r>
      <w:r>
        <w:t xml:space="preserve">(the instructions) and</w:t>
      </w:r>
      <w:r>
        <w:t xml:space="preserve"> </w:t>
      </w:r>
      <w:r>
        <w:rPr>
          <w:b/>
          <w:bCs/>
        </w:rPr>
        <w:t xml:space="preserve">M</w:t>
      </w:r>
      <w:r>
        <w:t xml:space="preserve"> </w:t>
      </w:r>
      <w:r>
        <w:t xml:space="preserve">(the evaluation factors).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holds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job here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Solicitation/contract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Confirm this is an RFP (not an RFI or RFQ).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Supplies or services and prices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pricing structure and schedule.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 / specifications / statement of work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What is actually being bought.</w:t>
            </w:r>
            <w:r>
              <w:t xml:space="preserve"> </w:t>
            </w:r>
            <w:r>
              <w:t xml:space="preserve">Read this one fully.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and marking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Only matters for physical deliveries.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Inspection and acceptance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the agency will judge delivery.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Deliveries or 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and when the work happens.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administration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Points of contact, invoicing, administration.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contract requirements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 unusual requirements.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 clauses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legal terms that will apply.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J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of attachments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documents that are part of the solicitation.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Representations, certifications, and statements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Forms you must sign and certify.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Instructions, conditions, and notices to offerors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Exactly how to respond</w:t>
            </w:r>
            <w:r>
              <w:t xml:space="preserve">: structure, page limits, format, where to submit.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Evaluation factors for award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Exactly how you will be judged</w:t>
            </w:r>
            <w:r>
              <w:t xml:space="preserve">: the factors and their weights.</w:t>
            </w:r>
          </w:p>
        </w:tc>
      </w:tr>
    </w:tbl>
    <w:bookmarkEnd w:id="21"/>
    <w:bookmarkStart w:id="22" w:name="section-l-the-rules-of-the-game"/>
    <w:p>
      <w:pPr>
        <w:pStyle w:val="Heading2"/>
      </w:pPr>
      <w:r>
        <w:t xml:space="preserve">Section L: the rules of the game</w:t>
      </w:r>
    </w:p>
    <w:p>
      <w:pPr>
        <w:pStyle w:val="FirstParagraph"/>
      </w:pPr>
      <w:r>
        <w:t xml:space="preserve">Section L is the instructions. It tells you, with bureaucratic precision, the shape of the response: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volumes</w:t>
      </w:r>
      <w:r>
        <w:t xml:space="preserve"> </w:t>
      </w:r>
      <w:r>
        <w:t xml:space="preserve">— often Technical, Management, Past Performance, and Pricing (sometimes combined, sometimes separate).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Page limits</w:t>
      </w:r>
      <w:r>
        <w:t xml:space="preserve"> </w:t>
      </w:r>
      <w:r>
        <w:t xml:space="preserve">— and how pages are counted (front sides? each side? what is excluded?).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Format rules</w:t>
      </w:r>
      <w:r>
        <w:t xml:space="preserve"> </w:t>
      </w:r>
      <w:r>
        <w:t xml:space="preserve">— font, spacing, margins, file names, file formats.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Required content</w:t>
      </w:r>
      <w:r>
        <w:t xml:space="preserve"> </w:t>
      </w:r>
      <w:r>
        <w:t xml:space="preserve">— what each volume must address, in what order.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Submission mechanics</w:t>
      </w:r>
      <w:r>
        <w:t xml:space="preserve"> </w:t>
      </w:r>
      <w:r>
        <w:t xml:space="preserve">— the portal, the naming convention, the deadline in what time zone, and how to acknowledge amendments.</w:t>
      </w:r>
    </w:p>
    <w:p>
      <w:pPr>
        <w:pStyle w:val="FirstParagraph"/>
      </w:pPr>
      <w:r>
        <w:rPr>
          <w:b/>
          <w:bCs/>
        </w:rPr>
        <w:t xml:space="preserve">The rule for Section L: comply literally.</w:t>
      </w:r>
      <w:r>
        <w:t xml:space="preserve"> </w:t>
      </w:r>
      <w:r>
        <w:t xml:space="preserve">Every page-limit or formatting miss is a visible, disqualifying flaw — and it is the easiest kind of flaw for an evaluator to find. A perfect technical approach cannot save a response that violated the format rules.</w:t>
      </w:r>
    </w:p>
    <w:bookmarkEnd w:id="22"/>
    <w:bookmarkStart w:id="23" w:name="section-m-the-secret-that-is-not-secret"/>
    <w:p>
      <w:pPr>
        <w:pStyle w:val="Heading2"/>
      </w:pPr>
      <w:r>
        <w:t xml:space="preserve">Section M: the secret that is not secret</w:t>
      </w:r>
    </w:p>
    <w:p>
      <w:pPr>
        <w:pStyle w:val="FirstParagraph"/>
      </w:pPr>
      <w:r>
        <w:t xml:space="preserve">Section M is the evaluation plan — the agency telling you, in advance, how it will choose the winner. It names the factors, gives them relative weights, and describes what</w:t>
      </w:r>
      <w:r>
        <w:t xml:space="preserve"> </w:t>
      </w:r>
      <w:r>
        <w:t xml:space="preserve">“</w:t>
      </w:r>
      <w:r>
        <w:t xml:space="preserve">excellent</w:t>
      </w:r>
      <w:r>
        <w:t xml:space="preserve">”</w:t>
      </w:r>
      <w:r>
        <w:t xml:space="preserve"> </w:t>
      </w:r>
      <w:r>
        <w:t xml:space="preserve">looks like. This is the single most valuable section of the RFP, because it is the rubric your proposal is graded against.</w:t>
      </w:r>
    </w:p>
    <w:p>
      <w:pPr>
        <w:pStyle w:val="BodyText"/>
      </w:pPr>
      <w:r>
        <w:t xml:space="preserve">Read Section M twice. First for the factors. Second for the</w:t>
      </w:r>
      <w:r>
        <w:t xml:space="preserve"> </w:t>
      </w:r>
      <w:r>
        <w:rPr>
          <w:i/>
          <w:iCs/>
        </w:rPr>
        <w:t xml:space="preserve">emphasis</w:t>
      </w:r>
      <w:r>
        <w:t xml:space="preserve"> </w:t>
      </w:r>
      <w:r>
        <w:t xml:space="preserve">— which factor has the highest weight, what adjectives the agency uses for</w:t>
      </w:r>
      <w:r>
        <w:t xml:space="preserve"> </w:t>
      </w:r>
      <w:r>
        <w:t xml:space="preserve">“</w:t>
      </w:r>
      <w:r>
        <w:t xml:space="preserve">excellent,</w:t>
      </w:r>
      <w:r>
        <w:t xml:space="preserve">”</w:t>
      </w:r>
      <w:r>
        <w:t xml:space="preserve"> </w:t>
      </w:r>
      <w:r>
        <w:t xml:space="preserve">what the price factor is (lowest-price or best-value). Your proposal’s structure should mirror the evaluation factors in the order the agency weighted them. If technical approach is 50% and past performance is 20%, a proposal that spends its best pages on past performance is a proposal that bet on the wrong horse.</w:t>
      </w:r>
    </w:p>
    <w:bookmarkEnd w:id="23"/>
    <w:bookmarkStart w:id="24" w:name="the-supporting-cast"/>
    <w:p>
      <w:pPr>
        <w:pStyle w:val="Heading2"/>
      </w:pPr>
      <w:r>
        <w:t xml:space="preserve">The supporting cast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Statement of Work (Section C)</w:t>
      </w:r>
      <w:r>
        <w:t xml:space="preserve"> </w:t>
      </w:r>
      <w:r>
        <w:t xml:space="preserve">— The actual work. Read this in full, more than once. Every proposal volume answers something in here.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Compliance matrix</w:t>
      </w:r>
      <w:r>
        <w:t xml:space="preserve"> </w:t>
      </w:r>
      <w:r>
        <w:t xml:space="preserve">— Your own tool, not the agency’s: a table of every requirement (cite the page) and where your proposal satisfies it (cite your page). Built during the compliance pass, it is the backbone of the review gates (the</w:t>
      </w:r>
      <w:r>
        <w:t xml:space="preserve"> </w:t>
      </w:r>
      <w:r>
        <w:t xml:space="preserve">“</w:t>
      </w:r>
      <w:r>
        <w:t xml:space="preserve">pink team</w:t>
      </w:r>
      <w:r>
        <w:t xml:space="preserve">”</w:t>
      </w:r>
      <w:r>
        <w:t xml:space="preserve"> </w:t>
      </w:r>
      <w:r>
        <w:t xml:space="preserve">starts here).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Amendments</w:t>
      </w:r>
      <w:r>
        <w:t xml:space="preserve"> </w:t>
      </w:r>
      <w:r>
        <w:t xml:space="preserve">— Check for them constantly between release and submission. They change requirements and deadlines, and answering an RFP on a stale version is a classic way to lose.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The questions deadline</w:t>
      </w:r>
      <w:r>
        <w:t xml:space="preserve"> </w:t>
      </w:r>
      <w:r>
        <w:t xml:space="preserve">— Ask your clarifying questions before this date. After it, the agency answers everyone through amendments; you cannot ask privately.</w:t>
      </w:r>
    </w:p>
    <w:bookmarkEnd w:id="24"/>
    <w:bookmarkStart w:id="25" w:name="the-common-failure-modes"/>
    <w:p>
      <w:pPr>
        <w:pStyle w:val="Heading2"/>
      </w:pPr>
      <w:r>
        <w:t xml:space="preserve">The common failure modes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Reading for the story and missing the rules.</w:t>
      </w:r>
      <w:r>
        <w:t xml:space="preserve"> </w:t>
      </w:r>
      <w:r>
        <w:t xml:space="preserve">Great proposal, wrong format. Fail.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Answering the last version.</w:t>
      </w:r>
      <w:r>
        <w:t xml:space="preserve"> </w:t>
      </w:r>
      <w:r>
        <w:t xml:space="preserve">Requirements moved in an amendment you did not read. Fail.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Writing to what you want to say, not what Section M rewards.</w:t>
      </w:r>
      <w:r>
        <w:t xml:space="preserve"> </w:t>
      </w:r>
      <w:r>
        <w:t xml:space="preserve">Brilliant but irrelevant. Fail.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Aiming at the deadline, not before it.</w:t>
      </w:r>
      <w:r>
        <w:t xml:space="preserve"> </w:t>
      </w:r>
      <w:r>
        <w:t xml:space="preserve">Submitted at 4:59 p.m. with a portal that closes at 5:00 — and the file fails to upload. This is why internal deadlines exist.</w:t>
      </w:r>
    </w:p>
    <w:bookmarkEnd w:id="25"/>
    <w:bookmarkStart w:id="26" w:name="one-practice-loop"/>
    <w:p>
      <w:pPr>
        <w:pStyle w:val="Heading2"/>
      </w:pPr>
      <w:r>
        <w:t xml:space="preserve">One practice loop</w:t>
      </w:r>
    </w:p>
    <w:p>
      <w:pPr>
        <w:pStyle w:val="Compact"/>
        <w:numPr>
          <w:ilvl w:val="0"/>
          <w:numId w:val="1005"/>
        </w:numPr>
      </w:pPr>
      <w:r>
        <w:t xml:space="preserve">Take any real RFP from SAM.gov.</w:t>
      </w:r>
    </w:p>
    <w:p>
      <w:pPr>
        <w:pStyle w:val="Compact"/>
        <w:numPr>
          <w:ilvl w:val="0"/>
          <w:numId w:val="1005"/>
        </w:numPr>
      </w:pPr>
      <w:r>
        <w:t xml:space="preserve">In 15 minutes: find the SOW, the deadline, Section M, and the eligibility. Write a one-paragraph bid/no-bid recommendation.</w:t>
      </w:r>
    </w:p>
    <w:p>
      <w:pPr>
        <w:pStyle w:val="Compact"/>
        <w:numPr>
          <w:ilvl w:val="0"/>
          <w:numId w:val="1005"/>
        </w:numPr>
      </w:pPr>
      <w:r>
        <w:t xml:space="preserve">Build the compliance matrix: every</w:t>
      </w:r>
      <w:r>
        <w:t xml:space="preserve"> </w:t>
      </w:r>
      <w:r>
        <w:t xml:space="preserve">“</w:t>
      </w:r>
      <w:r>
        <w:t xml:space="preserve">shall</w:t>
      </w:r>
      <w:r>
        <w:t xml:space="preserve">”</w:t>
      </w:r>
      <w:r>
        <w:t xml:space="preserve"> </w:t>
      </w:r>
      <w:r>
        <w:t xml:space="preserve">you can find, with its page.</w:t>
      </w:r>
    </w:p>
    <w:p>
      <w:pPr>
        <w:pStyle w:val="Compact"/>
        <w:numPr>
          <w:ilvl w:val="0"/>
          <w:numId w:val="1005"/>
        </w:numPr>
      </w:pPr>
      <w:r>
        <w:t xml:space="preserve">Write the strategy pass: in one page, what story must the proposal tell to maximize the Section M weights?</w:t>
      </w:r>
    </w:p>
    <w:p>
      <w:pPr>
        <w:pStyle w:val="Compact"/>
        <w:numPr>
          <w:ilvl w:val="0"/>
          <w:numId w:val="1005"/>
        </w:numPr>
      </w:pPr>
      <w:r>
        <w:t xml:space="preserve">Compare with a peer. You are now reading RFPs like a professional.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4FC79169-A60F-4EDB-9FCD-6B190DD4D534}"/>
</file>

<file path=customXml/itemProps2.xml><?xml version="1.0" encoding="utf-8"?>
<ds:datastoreItem xmlns:ds="http://schemas.openxmlformats.org/officeDocument/2006/customXml" ds:itemID="{90B3499B-00DB-4674-8B3A-BD1D51A3A7F7}"/>
</file>

<file path=customXml/itemProps3.xml><?xml version="1.0" encoding="utf-8"?>
<ds:datastoreItem xmlns:ds="http://schemas.openxmlformats.org/officeDocument/2006/customXml" ds:itemID="{250D0D8B-9063-4189-9D2B-729D4CA7D939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2026-08-05T12:03:54Z</dcterms:created>
  <dcterms:modified xsi:type="dcterms:W3CDTF">2026-08-05T12:03:54Z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