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418b90e681b214fe30f22dd4c632b7f8504c300"/>
    <w:p>
      <w:pPr>
        <w:pStyle w:val="Heading1"/>
      </w:pPr>
      <w:r>
        <w:t xml:space="preserve">Literacy — Further Reading (Official Sources)</w:t>
      </w:r>
    </w:p>
    <w:p>
      <w:pPr>
        <w:pStyle w:val="FirstParagraph"/>
      </w:pPr>
      <w:r>
        <w:rPr>
          <w:i/>
          <w:iCs/>
        </w:rPr>
        <w:t xml:space="preserve">The official federal sources, consolidated. These are the places the facts in this curriculum come from — and the places you go when a fact matters. One-line notes on what each is for. Accuracy is the point of this layer (per the repo’s own rule: if you are not certain of a fact, state it generally rather than inventing specifics).</w:t>
      </w:r>
    </w:p>
    <w:p>
      <w:pPr>
        <w:pStyle w:val="BlockText"/>
      </w:pPr>
      <w:r>
        <w:rPr>
          <w:b/>
          <w:bCs/>
        </w:rPr>
        <w:t xml:space="preserve">A note on websites.</w:t>
      </w:r>
      <w:r>
        <w:t xml:space="preserve"> </w:t>
      </w:r>
      <w:r>
        <w:t xml:space="preserve">Interfaces, URLs, and portal names change — that is the</w:t>
      </w:r>
      <w:r>
        <w:t xml:space="preserve"> </w:t>
      </w:r>
      <w:r>
        <w:rPr>
          <w:i/>
          <w:iCs/>
        </w:rPr>
        <w:t xml:space="preserve">tools</w:t>
      </w:r>
      <w:r>
        <w:t xml:space="preserve"> </w:t>
      </w:r>
      <w:r>
        <w:t xml:space="preserve">layer (</w:t>
      </w:r>
      <w:hyperlink r:id="rId20">
        <w:r>
          <w:rPr>
            <w:rStyle w:val="Hyperlink"/>
          </w:rPr>
          <w:t xml:space="preserve">doctrine/08</w:t>
        </w:r>
      </w:hyperlink>
      <w:r>
        <w:t xml:space="preserve">). The</w:t>
      </w:r>
      <w:r>
        <w:t xml:space="preserve"> </w:t>
      </w:r>
      <w:r>
        <w:rPr>
          <w:i/>
          <w:iCs/>
        </w:rPr>
        <w:t xml:space="preserve">institutions</w:t>
      </w:r>
      <w:r>
        <w:t xml:space="preserve"> </w:t>
      </w:r>
      <w:r>
        <w:t xml:space="preserve">these sites represent endure: the registry, the bulletin boards, the rules, the published record. If a link moves, search the agency name — you will find the institution.</w:t>
      </w:r>
    </w:p>
    <w:bookmarkStart w:id="22" w:name="the-bulletin-boards-and-the-registry"/>
    <w:p>
      <w:pPr>
        <w:pStyle w:val="Heading2"/>
      </w:pPr>
      <w:r>
        <w:t xml:space="preserve">The bulletin boards and the registry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 for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When you need 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SAM.gov</w:t>
            </w:r>
            <w:r>
              <w:t xml:space="preserve"> </w:t>
            </w:r>
            <w:r>
              <w:t xml:space="preserve">— sam.gov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System for Award Management: the master registry (UEI, CAGE, SAM registration) and the central bulletin board for federal</w:t>
            </w:r>
            <w:r>
              <w:t xml:space="preserve"> </w:t>
            </w:r>
            <w:r>
              <w:rPr>
                <w:b/>
                <w:bCs/>
              </w:rPr>
              <w:t xml:space="preserve">contract opportunities and contract awards</w:t>
            </w:r>
            <w:r>
              <w:t xml:space="preserve">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Registering your entity; finding contract RFPs; seeing who won and for how much.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Grants.gov</w:t>
            </w:r>
            <w:r>
              <w:t xml:space="preserve"> </w:t>
            </w:r>
            <w:r>
              <w:t xml:space="preserve">— grants.gov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central portal for federal</w:t>
            </w:r>
            <w:r>
              <w:t xml:space="preserve"> </w:t>
            </w:r>
            <w:r>
              <w:rPr>
                <w:b/>
                <w:bCs/>
              </w:rPr>
              <w:t xml:space="preserve">grant opportunities</w:t>
            </w:r>
            <w:r>
              <w:t xml:space="preserve"> </w:t>
            </w:r>
            <w:r>
              <w:t xml:space="preserve">— where NOFOs are published and (for most federal grants) where applications are submitted.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Finding a NOFO; reading a program’s eligibility, review criteria, and deadlines; applying.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USAspending.gov</w:t>
            </w:r>
            <w:r>
              <w:t xml:space="preserve"> </w:t>
            </w:r>
            <w:r>
              <w:t xml:space="preserve">— usaspending.gov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public record of</w:t>
            </w:r>
            <w:r>
              <w:t xml:space="preserve"> </w:t>
            </w:r>
            <w:r>
              <w:rPr>
                <w:b/>
                <w:bCs/>
              </w:rPr>
              <w:t xml:space="preserve">what the government actually spends</w:t>
            </w:r>
            <w:r>
              <w:t xml:space="preserve"> </w:t>
            </w:r>
            <w:r>
              <w:t xml:space="preserve">— trace a dollar from appropriation to a specific award, to an agency, to a contractor.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money-flow map (</w:t>
            </w:r>
            <w:hyperlink r:id="rId21">
              <w:r>
                <w:rPr>
                  <w:rStyle w:val="Hyperlink"/>
                </w:rPr>
                <w:t xml:space="preserve">where-the-money-flows</w:t>
              </w:r>
            </w:hyperlink>
            <w:r>
              <w:t xml:space="preserve">) made real; post-award research; market intelligence.</w:t>
            </w:r>
          </w:p>
        </w:tc>
      </w:tr>
    </w:tbl>
    <w:bookmarkEnd w:id="22"/>
    <w:bookmarkStart w:id="23" w:name="the-rules"/>
    <w:p>
      <w:pPr>
        <w:pStyle w:val="Heading2"/>
      </w:pPr>
      <w:r>
        <w:t xml:space="preserve">The rules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 for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When you need 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acquisition.gov (FAR)</w:t>
            </w:r>
            <w:r>
              <w:t xml:space="preserve"> </w:t>
            </w:r>
            <w:r>
              <w:t xml:space="preserve">— acquisition.gov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Federal Acquisition Regulation</w:t>
            </w:r>
            <w:r>
              <w:t xml:space="preserve"> </w:t>
            </w:r>
            <w:r>
              <w:t xml:space="preserve">— the rulebook for how the government buys things, plus agency supplements (DFARS for DoD, and others).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Checking the actual text behind an RFP’s clauses; understanding why a requirement exists.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OMB / Grants.gov policy pages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grants-policy framework — the rules for assistance dollars (2 CFR and OMB circulars) that sit behind every NOFO.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Understanding the</w:t>
            </w:r>
            <w:r>
              <w:t xml:space="preserve"> </w:t>
            </w:r>
            <w:r>
              <w:rPr>
                <w:i/>
                <w:iCs/>
              </w:rPr>
              <w:t xml:space="preserve">other</w:t>
            </w:r>
            <w:r>
              <w:t xml:space="preserve"> </w:t>
            </w:r>
            <w:r>
              <w:t xml:space="preserve">rulebook — the grants side of the transaction.</w:t>
            </w:r>
          </w:p>
        </w:tc>
      </w:tr>
    </w:tbl>
    <w:bookmarkEnd w:id="23"/>
    <w:bookmarkStart w:id="25" w:name="the-small-business-universe"/>
    <w:p>
      <w:pPr>
        <w:pStyle w:val="Heading2"/>
      </w:pPr>
      <w:r>
        <w:t xml:space="preserve">The small-business universe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 for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When you need 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SBA (Small Business Administration)</w:t>
            </w:r>
            <w:r>
              <w:t xml:space="preserve"> </w:t>
            </w:r>
            <w:r>
              <w:t xml:space="preserve">— sba.gov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agency that runs the small-business programs:</w:t>
            </w:r>
            <w:r>
              <w:t xml:space="preserve"> </w:t>
            </w:r>
            <w:r>
              <w:rPr>
                <w:b/>
                <w:bCs/>
              </w:rPr>
              <w:t xml:space="preserve">size standards</w:t>
            </w:r>
            <w:r>
              <w:t xml:space="preserve">, NAICS guidance, and the</w:t>
            </w:r>
            <w:r>
              <w:t xml:space="preserve"> </w:t>
            </w:r>
            <w:r>
              <w:rPr>
                <w:b/>
                <w:bCs/>
              </w:rPr>
              <w:t xml:space="preserve">certifications</w:t>
            </w:r>
            <w:r>
              <w:t xml:space="preserve"> </w:t>
            </w:r>
            <w:r>
              <w:t xml:space="preserve">(HUBZone, 8(a), WOSB/VOSB).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Confirming a size standard; understanding what a certification requires; applying for or maintaining a certification.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SBIR.gov / STTR</w:t>
            </w:r>
            <w:r>
              <w:t xml:space="preserve"> </w:t>
            </w:r>
            <w:r>
              <w:t xml:space="preserve">— sbir.gov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Small Business Innovation Research and Small Business Technology Transfer programs:</w:t>
            </w:r>
            <w:r>
              <w:t xml:space="preserve"> </w:t>
            </w:r>
            <w:r>
              <w:rPr>
                <w:b/>
                <w:bCs/>
              </w:rPr>
              <w:t xml:space="preserve">topics, solicitations, awards, and policies</w:t>
            </w:r>
            <w:r>
              <w:t xml:space="preserve"> </w:t>
            </w:r>
            <w:r>
              <w:t xml:space="preserve">for the research set-aside programs.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Finding SBIR/STTR topics (like the one in the</w:t>
            </w:r>
            <w:r>
              <w:t xml:space="preserve"> </w:t>
            </w:r>
            <w:hyperlink r:id="rId24">
              <w:r>
                <w:rPr>
                  <w:rStyle w:val="Hyperlink"/>
                </w:rPr>
                <w:t xml:space="preserve">worked exemplar</w:t>
              </w:r>
            </w:hyperlink>
            <w:r>
              <w:t xml:space="preserve">); seeing Phase I/II/III awards; reading the program rules.</w:t>
            </w:r>
          </w:p>
        </w:tc>
      </w:tr>
    </w:tbl>
    <w:bookmarkEnd w:id="25"/>
    <w:bookmarkStart w:id="26" w:name="worth-knowing-one-level-down"/>
    <w:p>
      <w:pPr>
        <w:pStyle w:val="Heading2"/>
      </w:pPr>
      <w:r>
        <w:t xml:space="preserve">Worth knowing, one level down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 for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GSA eLibrary</w:t>
            </w:r>
            <w:r>
              <w:t xml:space="preserve"> </w:t>
            </w:r>
            <w:r>
              <w:t xml:space="preserve">— gsa.gov/elibrary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catalog of</w:t>
            </w:r>
            <w:r>
              <w:t xml:space="preserve"> </w:t>
            </w:r>
            <w:r>
              <w:rPr>
                <w:b/>
                <w:bCs/>
              </w:rPr>
              <w:t xml:space="preserve">GSA Schedule / MAS</w:t>
            </w:r>
            <w:r>
              <w:t xml:space="preserve"> </w:t>
            </w:r>
            <w:r>
              <w:t xml:space="preserve">contracts and the contractors on them — the vehicle landscape for repeated purchases.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FPDS (Federal Procurement Data System)</w:t>
            </w:r>
            <w:r>
              <w:t xml:space="preserve"> </w:t>
            </w:r>
            <w:r>
              <w:t xml:space="preserve">— via USAspending.gov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raw</w:t>
            </w:r>
            <w:r>
              <w:t xml:space="preserve"> </w:t>
            </w:r>
            <w:r>
              <w:rPr>
                <w:b/>
                <w:bCs/>
              </w:rPr>
              <w:t xml:space="preserve">contract award data</w:t>
            </w:r>
            <w:r>
              <w:t xml:space="preserve"> </w:t>
            </w:r>
            <w:r>
              <w:t xml:space="preserve">— the published record of who won what (USAspending is the friendly window on it).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Agency forecasts</w:t>
            </w:r>
            <w:r>
              <w:t xml:space="preserve"> </w:t>
            </w:r>
            <w:r>
              <w:t xml:space="preserve">(DoD, GSA, and others)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Each large agency’s</w:t>
            </w:r>
            <w:r>
              <w:t xml:space="preserve"> </w:t>
            </w:r>
            <w:r>
              <w:rPr>
                <w:b/>
                <w:bCs/>
              </w:rPr>
              <w:t xml:space="preserve">forecast of planned purchases</w:t>
            </w:r>
            <w:r>
              <w:t xml:space="preserve"> </w:t>
            </w:r>
            <w:r>
              <w:t xml:space="preserve">— the market</w:t>
            </w:r>
            <w:r>
              <w:t xml:space="preserve"> </w:t>
            </w:r>
            <w:r>
              <w:rPr>
                <w:i/>
                <w:iCs/>
              </w:rPr>
              <w:t xml:space="preserve">before</w:t>
            </w:r>
            <w:r>
              <w:t xml:space="preserve"> </w:t>
            </w:r>
            <w:r>
              <w:t xml:space="preserve">the solicitation drops.</w:t>
            </w:r>
          </w:p>
        </w:tc>
      </w:tr>
    </w:tbl>
    <w:bookmarkEnd w:id="26"/>
    <w:bookmarkStart w:id="28" w:name="how-to-use-this-list"/>
    <w:p>
      <w:pPr>
        <w:pStyle w:val="Heading2"/>
      </w:pPr>
      <w:r>
        <w:t xml:space="preserve">How to use this list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the course and the practice layer</w:t>
      </w:r>
      <w:r>
        <w:t xml:space="preserve">, these sources are where</w:t>
      </w:r>
      <w:r>
        <w:t xml:space="preserve"> </w:t>
      </w:r>
      <w:r>
        <w:t xml:space="preserve">“</w:t>
      </w:r>
      <w:r>
        <w:t xml:space="preserve">real, published and closed</w:t>
      </w:r>
      <w:r>
        <w:t xml:space="preserve">”</w:t>
      </w:r>
      <w:r>
        <w:t xml:space="preserve"> </w:t>
      </w:r>
      <w:r>
        <w:t xml:space="preserve">solicitations come from. Pick one from SAM.gov (an RFP) or Grants.gov (a NOFO) and work the</w:t>
      </w:r>
      <w:r>
        <w:t xml:space="preserve"> </w:t>
      </w:r>
      <w:hyperlink r:id="rId27">
        <w:r>
          <w:rPr>
            <w:rStyle w:val="Hyperlink"/>
          </w:rPr>
          <w:t xml:space="preserve">practice bank</w:t>
        </w:r>
      </w:hyperlink>
      <w:r>
        <w:t xml:space="preserve"> </w:t>
      </w:r>
      <w:r>
        <w:t xml:space="preserve">on it.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a fact you need to be sure of</w:t>
      </w:r>
      <w:r>
        <w:t xml:space="preserve"> </w:t>
      </w:r>
      <w:r>
        <w:t xml:space="preserve">(a size standard, a certification rule, a deadline), go to the official source rather than a third-party summary. The literacy layer is accurate, but official sources are the ground truth.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the weekly habit</w:t>
      </w:r>
      <w:r>
        <w:t xml:space="preserve">, USAspending.gov is the most underrated tool in this discipline: ten minutes a week reading published awards in your NAICS codes teaches you the competitive landscape faster than any newsletter.</w:t>
      </w:r>
    </w:p>
    <w:bookmarkEnd w:id="28"/>
    <w:bookmarkStart w:id="29" w:name="the-one-sentence-summary"/>
    <w:p>
      <w:pPr>
        <w:pStyle w:val="Heading2"/>
      </w:pPr>
      <w:r>
        <w:t xml:space="preserve">The one-sentence summary</w:t>
      </w:r>
    </w:p>
    <w:p>
      <w:pPr>
        <w:pStyle w:val="FirstParagraph"/>
      </w:pPr>
      <w:r>
        <w:t xml:space="preserve">The institutions — the registry, the bulletin boards, the rules, the published record — endure even as the websites change. Learn the institutions; the websites are just the current address (</w:t>
      </w:r>
      <w:hyperlink r:id="rId20">
        <w:r>
          <w:rPr>
            <w:rStyle w:val="Hyperlink"/>
          </w:rPr>
          <w:t xml:space="preserve">doctrine/08</w:t>
        </w:r>
      </w:hyperlink>
      <w:r>
        <w:t xml:space="preserve">).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21" Type="http://schemas.openxmlformats.org/officeDocument/2006/relationships/hyperlink" Target="where-the-money-flows.md" TargetMode="Externa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20" Type="http://schemas.openxmlformats.org/officeDocument/2006/relationships/hyperlink" Target="../doctrine/08-tools-change-concepts-dont.md" TargetMode="External"/><Relationship Id="rId29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24" Type="http://schemas.openxmlformats.org/officeDocument/2006/relationships/hyperlink" Target="../practice/worked-exemplar-day-in-the-life.md" TargetMode="External"/><Relationship Id="rId5" Type="http://schemas.openxmlformats.org/officeDocument/2006/relationships/fontTable" Target="fontTable.xml"/><Relationship Id="rId28" Type="http://schemas.openxmlformats.org/officeDocument/2006/relationships/customXml" Target="../customXml/item1.xml"/><Relationship Id="rId4" Type="http://schemas.openxmlformats.org/officeDocument/2006/relationships/webSettings" Target="webSettings.xml"/><Relationship Id="rId27" Type="http://schemas.openxmlformats.org/officeDocument/2006/relationships/hyperlink" Target="../practice/exercises.md" TargetMode="External"/><Relationship Id="rId30" Type="http://schemas.openxmlformats.org/officeDocument/2006/relationships/customXml" Target="../customXml/item3.xm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../doctrine/08-tools-change-concepts-dont.md" TargetMode="External" /><Relationship Type="http://schemas.openxmlformats.org/officeDocument/2006/relationships/hyperlink" Id="rId27" Target="../practice/exercises.md" TargetMode="External" /><Relationship Type="http://schemas.openxmlformats.org/officeDocument/2006/relationships/hyperlink" Id="rId24" Target="../practice/worked-exemplar-day-in-the-life.md" TargetMode="External" /><Relationship Type="http://schemas.openxmlformats.org/officeDocument/2006/relationships/hyperlink" Id="rId21" Target="where-the-money-flows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E55153E5-B95D-4ADF-8BA2-A7AD1D5CCAFB}"/>
</file>

<file path=customXml/itemProps2.xml><?xml version="1.0" encoding="utf-8"?>
<ds:datastoreItem xmlns:ds="http://schemas.openxmlformats.org/officeDocument/2006/customXml" ds:itemID="{6D968F67-7BF0-495C-ADB2-3B0D08BAF700}"/>
</file>

<file path=customXml/itemProps3.xml><?xml version="1.0" encoding="utf-8"?>
<ds:datastoreItem xmlns:ds="http://schemas.openxmlformats.org/officeDocument/2006/customXml" ds:itemID="{031B9F6B-4EEC-4A90-8358-96DA550EE429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2026-08-05T12:03:53Z</dcterms:created>
  <dcterms:modified xsi:type="dcterms:W3CDTF">2026-08-05T12:03:53Z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