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literacy-certification-prep-companion"/>
    <w:p>
      <w:pPr>
        <w:pStyle w:val="Heading1"/>
      </w:pPr>
      <w:r>
        <w:t xml:space="preserve">Literacy — Certification Prep Companion</w:t>
      </w:r>
    </w:p>
    <w:p>
      <w:pPr>
        <w:pStyle w:val="FirstParagraph"/>
      </w:pPr>
      <w:r>
        <w:rPr>
          <w:i/>
          <w:iCs/>
        </w:rPr>
        <w:t xml:space="preserve">The honest companion to the certification landscape: what each credential actually tests, which curriculum modules already teach it, where the gaps are, and how a candidate closes them with the bodies’ own materials. A companion — never official prep.</w:t>
      </w:r>
    </w:p>
    <w:p>
      <w:pPr>
        <w:pStyle w:val="BlockText"/>
      </w:pPr>
      <w:r>
        <w:rPr>
          <w:b/>
          <w:bCs/>
        </w:rPr>
        <w:t xml:space="preserve">Read this first.</w:t>
      </w:r>
      <w:r>
        <w:t xml:space="preserve"> </w:t>
      </w:r>
      <w:r>
        <w:t xml:space="preserve">This page does two things and refuses a third. It maps the professional credentials a capture, proposal, or contract-management professional can earn onto the modules that already teach the tested concepts. It names the gaps a candidate must close on their own, and where to go to close them. And it</w:t>
      </w:r>
      <w:r>
        <w:t xml:space="preserve"> </w:t>
      </w:r>
      <w:r>
        <w:rPr>
          <w:b/>
          <w:bCs/>
        </w:rPr>
        <w:t xml:space="preserve">does not</w:t>
      </w:r>
      <w:r>
        <w:t xml:space="preserve"> </w:t>
      </w:r>
      <w:r>
        <w:t xml:space="preserve">claim to be official preparation for any body’s exam. The credential bodies — APMP, NCMA, Shipley, PMI, and the government-side academies — own the exams, the study guides, and the standards. They remain the authority, and this curriculum cannot and will not substitute for them. Read the</w:t>
      </w:r>
      <w:r>
        <w:t xml:space="preserve"> </w:t>
      </w:r>
      <w:hyperlink w:anchor="the-licensing-posture-companion-not-prep">
        <w:r>
          <w:rPr>
            <w:rStyle w:val="Hyperlink"/>
          </w:rPr>
          <w:t xml:space="preserve">licensing posture</w:t>
        </w:r>
      </w:hyperlink>
      <w:r>
        <w:t xml:space="preserve"> </w:t>
      </w:r>
      <w:r>
        <w:t xml:space="preserve">before you sign up for anything.</w:t>
      </w:r>
    </w:p>
    <w:p>
      <w:r>
        <w:pict>
          <v:rect style="width:0;height:1.5pt" o:hralign="center" o:hrstd="t" o:hr="t"/>
        </w:pict>
      </w:r>
    </w:p>
    <w:bookmarkStart w:id="22" w:name="the-licensing-posture-companion-not-prep"/>
    <w:p>
      <w:pPr>
        <w:pStyle w:val="Heading2"/>
      </w:pPr>
      <w:r>
        <w:t xml:space="preserve">The licensing posture — companion, not prep</w:t>
      </w:r>
    </w:p>
    <w:p>
      <w:pPr>
        <w:pStyle w:val="FirstParagraph"/>
      </w:pPr>
      <w:r>
        <w:t xml:space="preserve">The wider doctrine keeps a deliberately license-clean relationship with the professional bodies: it teaches the</w:t>
      </w:r>
      <w:r>
        <w:t xml:space="preserve"> </w:t>
      </w:r>
      <w:r>
        <w:rPr>
          <w:i/>
          <w:iCs/>
        </w:rPr>
        <w:t xml:space="preserve">concepts</w:t>
      </w:r>
      <w:r>
        <w:t xml:space="preserve"> </w:t>
      </w:r>
      <w:r>
        <w:t xml:space="preserve">the industry’s vocabulary names (the pipeline, the gates, the compliance matrix, price-to-win, color teams) and it never claims to be a body’s own product or an authorized-prep channel. Two consequences follow, and this page is written inside them: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curriculum can honestly say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this teaches the concepts the credential certifies.</w:t>
      </w:r>
      <w:r>
        <w:rPr>
          <w:b/>
          <w:bCs/>
        </w:rPr>
        <w:t xml:space="preserve">”</w:t>
      </w:r>
      <w:r>
        <w:t xml:space="preserve"> </w:t>
      </w:r>
      <w:r>
        <w:t xml:space="preserve">A graduate of this course speaks the vocabulary and has produced the artifacts — compliance matrix, ORBITAL, scored pursuit sheet, gate charter — that the credentialing process assesses.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curriculum cannot honestly say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this is official prep for credential X.</w:t>
      </w:r>
      <w:r>
        <w:rPr>
          <w:b/>
          <w:bCs/>
        </w:rPr>
        <w:t xml:space="preserve">”</w:t>
      </w:r>
      <w:r>
        <w:t xml:space="preserve"> </w:t>
      </w:r>
      <w:r>
        <w:t xml:space="preserve">Certification bodies assess against</w:t>
      </w:r>
      <w:r>
        <w:t xml:space="preserve"> </w:t>
      </w:r>
      <w:r>
        <w:rPr>
          <w:i/>
          <w:iCs/>
        </w:rPr>
        <w:t xml:space="preserve">their own</w:t>
      </w:r>
      <w:r>
        <w:t xml:space="preserve"> </w:t>
      </w:r>
      <w:r>
        <w:t xml:space="preserve">curriculum, study guides, and exams. Earning a credential requires the body’s own materials, the body’s own assessment, and — for the senior credentials — years of verifiable work experience that no curriculum can manufacture.</w:t>
      </w:r>
    </w:p>
    <w:p>
      <w:pPr>
        <w:pStyle w:val="FirstParagraph"/>
      </w:pPr>
      <w:r>
        <w:t xml:space="preserve">So treat everything below as a</w:t>
      </w:r>
      <w:r>
        <w:t xml:space="preserve"> </w:t>
      </w:r>
      <w:r>
        <w:rPr>
          <w:b/>
          <w:bCs/>
        </w:rPr>
        <w:t xml:space="preserve">conceptual alignment map with an honest gap list</w:t>
      </w:r>
      <w:r>
        <w:t xml:space="preserve">. Where a tested topic is covered, this page names the module. Where a tested topic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covered, this page names that too, and points to where the candidate self-studies — usually the body’s own guide and the public rulebook (FAR, acquisition.gov), both already in</w:t>
      </w:r>
      <w:r>
        <w:t xml:space="preserve"> </w:t>
      </w:r>
      <w:hyperlink r:id="rId20">
        <w:r>
          <w:rPr>
            <w:rStyle w:val="Hyperlink"/>
          </w:rPr>
          <w:t xml:space="preserve">Further Reading (Official Sources)</w:t>
        </w:r>
      </w:hyperlink>
      <w:r>
        <w:t xml:space="preserve">. The underlying research, with sources and verification status, lives in</w:t>
      </w:r>
      <w:r>
        <w:t xml:space="preserve"> </w:t>
      </w:r>
      <w:hyperlink r:id="rId21">
        <w:r>
          <w:rPr>
            <w:rStyle w:val="VerbatimChar"/>
          </w:rPr>
          <w:t xml:space="preserve">research/credential-mapping.md</w:t>
        </w:r>
      </w:hyperlink>
      <w:r>
        <w:t xml:space="preserve"> </w:t>
      </w:r>
      <w:r>
        <w:t xml:space="preserve">— this page is the student-facing rendering of that research.</w:t>
      </w:r>
    </w:p>
    <w:p>
      <w:r>
        <w:pict>
          <v:rect style="width:0;height:1.5pt" o:hralign="center" o:hrstd="t" o:hr="t"/>
        </w:pict>
      </w:r>
    </w:p>
    <w:bookmarkEnd w:id="22"/>
    <w:bookmarkStart w:id="26" w:name="the-credential-landscape-at-a-glance"/>
    <w:p>
      <w:pPr>
        <w:pStyle w:val="Heading2"/>
      </w:pPr>
      <w:r>
        <w:t xml:space="preserve">The credential landscape at a glance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Credential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Issuing 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certifies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remaining leg (not this course’s to give)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Breadth of the proposal/bid/capture discipline against the Body of Knowledge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— the pipeline, gates, solicitation reading, scoring, color teams are the doctrine itself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body’s Foundation study guide + a 75-question open-book exam + 1–3 years of experience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Practitioner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Applied mastery of the discipline — leading others in the practice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conceptual base; SI-track portfolio/gate sessions as practice 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3–7 years of experience + APMP’s applied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Professional (CPP)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Demonstrated leadership and measurable impact on the profession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as a practice ground — the whole curriculum is the narrative a CPP impact paper must tell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7+ years of verifiable impact + a Professional Impact Paper + a panel interview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CFCM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 (federal)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contract management — the FAR as the exam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  <w:r>
              <w:t xml:space="preserve"> </w:t>
            </w:r>
            <w:r>
              <w:t xml:space="preserve">— money flow, solicitations, and FAR-as-governance at concept level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FAR article-level depth is the gap</w:t>
            </w:r>
            <w:r>
              <w:t xml:space="preserve">; the body’s CMBOK + FAR Parts 12/15 depth + 2 years of contract-management experience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CPCM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Full-lifecycle contract management against the CMBOK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  <w:r>
              <w:t xml:space="preserve"> </w:t>
            </w:r>
            <w:r>
              <w:t xml:space="preserve">pre-award concepts;</w:t>
            </w:r>
            <w:r>
              <w:t xml:space="preserve"> </w:t>
            </w:r>
            <w:r>
              <w:rPr>
                <w:b/>
                <w:bCs/>
              </w:rPr>
              <w:t xml:space="preserve">weak</w:t>
            </w:r>
            <w:r>
              <w:t xml:space="preserve"> </w:t>
            </w:r>
            <w:r>
              <w:t xml:space="preserve">post-award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Post-award administration is the gap</w:t>
            </w:r>
            <w:r>
              <w:t xml:space="preserve"> </w:t>
            </w:r>
            <w:r>
              <w:t xml:space="preserve">(performance, modifications, terminations, closeout); the body’s CMBOK + 5 years of experience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Certified (One Star)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Associates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Foundation–mid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Fluency in the Shipley method — capture, proposal, management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— the doctrine’s pipeline, gates, and color teams are the method, paraphrased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paid Shipley course (the One Star assessment is embedded in the course)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Two Star / Master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Associates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 application of the method in real work, judged on a portfolio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conceptual base; the capstone (</w:t>
            </w:r>
            <w:hyperlink r:id="rId23">
              <w:r>
                <w:rPr>
                  <w:rStyle w:val="VerbatimChar"/>
                </w:rPr>
                <w:t xml:space="preserve">../course/capstone-build-an-orbital.md</w:t>
              </w:r>
            </w:hyperlink>
            <w:r>
              <w:t xml:space="preserve">) is the right</w:t>
            </w:r>
            <w:r>
              <w:t xml:space="preserve"> </w:t>
            </w:r>
            <w:r>
              <w:rPr>
                <w:i/>
                <w:iCs/>
              </w:rPr>
              <w:t xml:space="preserve">shape</w:t>
            </w:r>
            <w:r>
              <w:t xml:space="preserve"> </w:t>
            </w:r>
            <w:r>
              <w:t xml:space="preserve">of a work portfolio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real-work portfolio assessed by Shipley assessors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PMP</w:t>
            </w:r>
            <w:r>
              <w:t xml:space="preserve"> </w:t>
            </w:r>
            <w:r>
              <w:t xml:space="preserve">(complementary)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Project-management discipline — scope, schedule, cost, EVM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Weak</w:t>
            </w:r>
            <w:r>
              <w:t xml:space="preserve"> </w:t>
            </w:r>
            <w:r>
              <w:t xml:space="preserve">— the curriculum is the pursuit pipeline, not project delivery; only the portfolio edge aligns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PMBOK-based exam; PMI’s 35-hour training + 36–60 months of project experience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CPSM</w:t>
            </w:r>
            <w:r>
              <w:t xml:space="preserve"> </w:t>
            </w:r>
            <w:r>
              <w:t xml:space="preserve">(lateral)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Professional-services marketing/BD in the A/E/C world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Small overlap</w:t>
            </w:r>
            <w:r>
              <w:t xml:space="preserve"> </w:t>
            </w:r>
            <w:r>
              <w:t xml:space="preserve">— proposals and client/BD domains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A/E/C marketing experience + SMPS’s exam</w:t>
            </w:r>
          </w:p>
        </w:tc>
      </w:tr>
    </w:tbl>
    <w:p>
      <w:pPr>
        <w:pStyle w:val="BodyText"/>
      </w:pPr>
      <w:r>
        <w:t xml:space="preserve">Two honesty notes for the student. First, the credentials</w:t>
      </w:r>
      <w:r>
        <w:t xml:space="preserve"> </w:t>
      </w:r>
      <w:r>
        <w:rPr>
          <w:b/>
          <w:bCs/>
        </w:rPr>
        <w:t xml:space="preserve">test the vocabulary and the method, not a tool</w:t>
      </w:r>
      <w:r>
        <w:t xml:space="preserve"> </w:t>
      </w:r>
      <w:r>
        <w:t xml:space="preserve">— a certified professional in 2000 and one today would recognize each other’s craft instantly, which is exactly the durability</w:t>
      </w:r>
      <w:r>
        <w:t xml:space="preserve"> </w:t>
      </w:r>
      <w:hyperlink r:id="rId24">
        <w:r>
          <w:rPr>
            <w:rStyle w:val="Hyperlink"/>
          </w:rPr>
          <w:t xml:space="preserve">Doctrine 08</w:t>
        </w:r>
      </w:hyperlink>
      <w:r>
        <w:t xml:space="preserve"> </w:t>
      </w:r>
      <w:r>
        <w:t xml:space="preserve">promises. Second,</w:t>
      </w:r>
      <w:r>
        <w:t xml:space="preserve"> </w:t>
      </w:r>
      <w:r>
        <w:rPr>
          <w:b/>
          <w:bCs/>
        </w:rPr>
        <w:t xml:space="preserve">a credential is a signal of discipline, not a substitute for it</w:t>
      </w:r>
      <w:r>
        <w:t xml:space="preserve"> </w:t>
      </w:r>
      <w:r>
        <w:t xml:space="preserve">— a certified team that skips its gates still loses, just more professionally. The credential ladder exists so organizations can trust that a practitioner actually knows the canon (</w:t>
      </w:r>
      <w:hyperlink r:id="rId25">
        <w:r>
          <w:rPr>
            <w:rStyle w:val="VerbatimChar"/>
          </w:rPr>
          <w:t xml:space="preserve">industry-standard-canon.md</w:t>
        </w:r>
      </w:hyperlink>
      <w:r>
        <w:t xml:space="preserve">).</w:t>
      </w:r>
    </w:p>
    <w:p>
      <w:r>
        <w:pict>
          <v:rect style="width:0;height:1.5pt" o:hralign="center" o:hrstd="t" o:hr="t"/>
        </w:pict>
      </w:r>
    </w:p>
    <w:bookmarkEnd w:id="26"/>
    <w:bookmarkStart w:id="40" w:name="X64ee2366da689eb8b565b16f029c7b86af77337"/>
    <w:p>
      <w:pPr>
        <w:pStyle w:val="Heading2"/>
      </w:pPr>
      <w:r>
        <w:t xml:space="preserve">The tested topic domains, and where this curriculum teaches them</w:t>
      </w:r>
    </w:p>
    <w:p>
      <w:pPr>
        <w:pStyle w:val="FirstParagraph"/>
      </w:pPr>
      <w:r>
        <w:t xml:space="preserve">The credentials test the profession’s shared topic domains. This table is the master map — every credential below is graded against it. Citations are to the course’s own files, the same ones the course teaches from.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Tested topic domain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curriculum teaches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Bid/proposal lifecycle &amp; the pipeline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VerbatimChar"/>
                </w:rPr>
                <w:t xml:space="preserve">../doctrine/03-the-pursuit-pipeline.md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25">
              <w:r>
                <w:rPr>
                  <w:rStyle w:val="VerbatimChar"/>
                </w:rPr>
                <w:t xml:space="preserve">industry-standard-canon.md</w:t>
              </w:r>
            </w:hyperlink>
            <w:r>
              <w:t xml:space="preserve"> </w:t>
            </w:r>
            <w:r>
              <w:t xml:space="preserve">(BD lifecycle map)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and bid/no-bid discipline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VerbatimChar"/>
                </w:rPr>
                <w:t xml:space="preserve">../doctrine/04-gates-and-governance.md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VerbatimChar"/>
                </w:rPr>
                <w:t xml:space="preserve">../modules/shared-core.md</w:t>
              </w:r>
            </w:hyperlink>
            <w:r>
              <w:t xml:space="preserve"> </w:t>
            </w:r>
            <w:r>
              <w:t xml:space="preserve">(S2/S5); DL 210 week 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Solicitation reading &amp; the compliance matrix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VerbatimChar"/>
                </w:rPr>
                <w:t xml:space="preserve">../doctrine/02-rfps-and-solicitations.md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VerbatimChar"/>
                </w:rPr>
                <w:t xml:space="preserve">../literacy/how-to-read-an-rfp.md</w:t>
              </w:r>
            </w:hyperlink>
            <w:r>
              <w:t xml:space="preserve">;</w:t>
            </w:r>
            <w:r>
              <w:t xml:space="preserve"> </w:t>
            </w:r>
            <w:hyperlink r:id="rId32">
              <w:r>
                <w:rPr>
                  <w:rStyle w:val="VerbatimChar"/>
                </w:rPr>
                <w:t xml:space="preserve">../literacy/how-to-read-a-nofo.md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VerbatimChar"/>
                </w:rPr>
                <w:t xml:space="preserve">../modules/shared-core.md</w:t>
              </w:r>
            </w:hyperlink>
            <w:r>
              <w:t xml:space="preserve"> </w:t>
            </w:r>
            <w:r>
              <w:t xml:space="preserve">(S3); DL 210 week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Scoring: pWin × value, thresholds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VerbatimChar"/>
                </w:rPr>
                <w:t xml:space="preserve">../doctrine/05-scoring-and-price-to-win.md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VerbatimChar"/>
                </w:rPr>
                <w:t xml:space="preserve">../modules/shared-core.md</w:t>
              </w:r>
            </w:hyperlink>
            <w:r>
              <w:t xml:space="preserve"> </w:t>
            </w:r>
            <w:r>
              <w:t xml:space="preserve">(S5)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Price-to-win &amp; cost/pricing concepts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VerbatimChar"/>
                </w:rPr>
                <w:t xml:space="preserve">../doctrine/05-scoring-and-price-to-win.md</w:t>
              </w:r>
            </w:hyperlink>
            <w:r>
              <w:t xml:space="preserve">; DL 220 (pricing &amp; price-to-win fundamentals); MBA track price-to-win session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(concept 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/ win strategy — discriminators, ghost themes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VerbatimChar"/>
                </w:rPr>
                <w:t xml:space="preserve">../doctrine/09-capture-and-competitive-strategy.md</w:t>
              </w:r>
            </w:hyperlink>
            <w:r>
              <w:t xml:space="preserve">; DL 210 week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Color-team reviews &amp; proposal quality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VerbatimChar"/>
                </w:rPr>
                <w:t xml:space="preserve">../doctrine/04-gates-and-governance.md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VerbatimChar"/>
                </w:rPr>
                <w:t xml:space="preserve">../literacy/how-color-teams-work.md</w:t>
              </w:r>
            </w:hyperlink>
            <w:r>
              <w:t xml:space="preserve">; DL 302 (proposal production)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Money flow, identifiers, small-business programs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VerbatimChar"/>
                </w:rPr>
                <w:t xml:space="preserve">../doctrine/01-where-the-money-lives.md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7">
              <w:r>
                <w:rPr>
                  <w:rStyle w:val="VerbatimChar"/>
                </w:rPr>
                <w:t xml:space="preserve">../literacy/where-the-money-flows.md</w:t>
              </w:r>
            </w:hyperlink>
            <w:r>
              <w:t xml:space="preserve">;</w:t>
            </w:r>
            <w:r>
              <w:t xml:space="preserve"> </w:t>
            </w:r>
            <w:hyperlink r:id="rId38">
              <w:r>
                <w:rPr>
                  <w:rStyle w:val="VerbatimChar"/>
                </w:rPr>
                <w:t xml:space="preserve">../case-study/ravonics.md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FAR/DFARS as law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VerbatimChar"/>
                </w:rPr>
                <w:t xml:space="preserve">../doctrine/04-gates-and-governance.md</w:t>
              </w:r>
            </w:hyperlink>
            <w:r>
              <w:t xml:space="preserve"> </w:t>
            </w:r>
            <w:r>
              <w:t xml:space="preserve">(governance, not rulebook); MPA track (public-side framework)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  <w:r>
              <w:t xml:space="preserve"> </w:t>
            </w:r>
            <w:r>
              <w:t xml:space="preserve">(concept, not article-level)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formation &amp; the acquisition process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VerbatimChar"/>
                </w:rPr>
                <w:t xml:space="preserve">../doctrine/02-rfps-and-solicitations.md</w:t>
              </w:r>
            </w:hyperlink>
            <w:r>
              <w:t xml:space="preserve">; DL 301 (procurement law &amp; FAR fundamentals)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Post-award contract administration</w:t>
            </w:r>
          </w:p>
        </w:tc>
        <w:tc>
          <w:tcPr/>
          <w:p>
            <w:pPr>
              <w:pStyle w:val="Compact"/>
              <w:jc w:val="left"/>
            </w:pPr>
            <w:hyperlink r:id="rId39">
              <w:r>
                <w:rPr>
                  <w:rStyle w:val="VerbatimChar"/>
                </w:rPr>
                <w:t xml:space="preserve">../doctrine/07-lifecycle-dream-orbital-world.md</w:t>
              </w:r>
            </w:hyperlink>
            <w:r>
              <w:t xml:space="preserve"> </w:t>
            </w:r>
            <w:r>
              <w:t xml:space="preserve">(deliver stage, conceptually)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Weak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Project/program management (scope, schedule, cost, EVM)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MBA track portfolio session; Strategic Initiative track metrics session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Weak</w:t>
            </w:r>
            <w:r>
              <w:t xml:space="preserve"> </w:t>
            </w:r>
            <w:r>
              <w:t xml:space="preserve">(portfolio-level only)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&amp; orals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10 post-submit corridor (named, not taught); DL 305 (negotiations)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 &amp; ethical conduct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integrity posture across every module;</w:t>
            </w:r>
            <w:r>
              <w:t xml:space="preserve"> </w:t>
            </w:r>
            <w:hyperlink r:id="rId28">
              <w:r>
                <w:rPr>
                  <w:rStyle w:val="VerbatimChar"/>
                </w:rPr>
                <w:t xml:space="preserve">../doctrine/04-gates-and-governance.md</w:t>
              </w:r>
            </w:hyperlink>
            <w:r>
              <w:t xml:space="preserve"> </w:t>
            </w:r>
            <w:r>
              <w:t xml:space="preserve">(governance as law)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honest headline.</w:t>
      </w:r>
      <w:r>
        <w:t xml:space="preserve"> </w:t>
      </w:r>
      <w:r>
        <w:t xml:space="preserve">The curriculum’s strongest credential alignment is to the</w:t>
      </w:r>
      <w:r>
        <w:t xml:space="preserve"> </w:t>
      </w:r>
      <w:r>
        <w:rPr>
          <w:b/>
          <w:bCs/>
        </w:rPr>
        <w:t xml:space="preserve">APMP Foundation/Practitioner knowledge base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Shipley method’s concepts</w:t>
      </w:r>
      <w:r>
        <w:t xml:space="preserve"> </w:t>
      </w:r>
      <w:r>
        <w:t xml:space="preserve">— because those are the disciplines the doctrine is built from. Its weakest alignment is to</w:t>
      </w:r>
      <w:r>
        <w:t xml:space="preserve"> </w:t>
      </w:r>
      <w:r>
        <w:rPr>
          <w:b/>
          <w:bCs/>
        </w:rPr>
        <w:t xml:space="preserve">NCMA’s CFCM/CPCM</w:t>
      </w:r>
      <w:r>
        <w:t xml:space="preserve"> </w:t>
      </w:r>
      <w:r>
        <w:t xml:space="preserve">(FAR depth + post-award),</w:t>
      </w:r>
      <w:r>
        <w:t xml:space="preserve"> </w:t>
      </w:r>
      <w:r>
        <w:rPr>
          <w:b/>
          <w:bCs/>
        </w:rPr>
        <w:t xml:space="preserve">PMP</w:t>
      </w:r>
      <w:r>
        <w:t xml:space="preserve"> </w:t>
      </w:r>
      <w:r>
        <w:t xml:space="preserve">(project-management discipline), and the</w:t>
      </w:r>
      <w:r>
        <w:t xml:space="preserve"> </w:t>
      </w:r>
      <w:r>
        <w:rPr>
          <w:b/>
          <w:bCs/>
        </w:rPr>
        <w:t xml:space="preserve">government-side FAC-C / DAWIA</w:t>
      </w:r>
      <w:r>
        <w:t xml:space="preserve"> </w:t>
      </w:r>
      <w:r>
        <w:t xml:space="preserve">certificates — because those are different bodies of knowledge than the pursuit pipeline. Read the credential-specific sections for exactly what that means.</w:t>
      </w:r>
    </w:p>
    <w:p>
      <w:r>
        <w:pict>
          <v:rect style="width:0;height:1.5pt" o:hralign="center" o:hrstd="t" o:hr="t"/>
        </w:pict>
      </w:r>
    </w:p>
    <w:bookmarkEnd w:id="40"/>
    <w:bookmarkStart w:id="42" w:name="apmp-foundation"/>
    <w:p>
      <w:pPr>
        <w:pStyle w:val="Heading2"/>
      </w:pPr>
      <w:r>
        <w:t xml:space="preserve">APMP Foundation</w:t>
      </w:r>
    </w:p>
    <w:p>
      <w:pPr>
        <w:pStyle w:val="FirstParagraph"/>
      </w:pPr>
      <w:r>
        <w:rPr>
          <w:b/>
          <w:bCs/>
        </w:rPr>
        <w:t xml:space="preserve">What it is.</w:t>
      </w:r>
      <w:r>
        <w:t xml:space="preserve"> </w:t>
      </w:r>
      <w:r>
        <w:t xml:space="preserve">The entry credential of the Association of Proposal Management Professionals — a one-hour, 75-question, open-book multiple-choice exam testing breadth across the</w:t>
      </w:r>
      <w:r>
        <w:t xml:space="preserve"> </w:t>
      </w:r>
      <w:r>
        <w:rPr>
          <w:b/>
          <w:bCs/>
        </w:rPr>
        <w:t xml:space="preserve">APMP Body of Knowledge</w:t>
      </w:r>
      <w:r>
        <w:t xml:space="preserve"> </w:t>
      </w:r>
      <w:r>
        <w:t xml:space="preserve">(the BOK: the profession’s shared framework of 51 topics, plus its glossary, acronym list, and tool/template repository). It is the</w:t>
      </w:r>
      <w:r>
        <w:t xml:space="preserve"> </w:t>
      </w:r>
      <w:r>
        <w:t xml:space="preserve">“</w:t>
      </w:r>
      <w:r>
        <w:t xml:space="preserve">do you speak the language</w:t>
      </w:r>
      <w:r>
        <w:t xml:space="preserve">”</w:t>
      </w:r>
      <w:r>
        <w:t xml:space="preserve"> </w:t>
      </w:r>
      <w:r>
        <w:t xml:space="preserve">rung of the ladder, and the curriculum’s own vocabulary anchor (</w:t>
      </w:r>
      <w:hyperlink r:id="rId25">
        <w:r>
          <w:rPr>
            <w:rStyle w:val="VerbatimChar"/>
          </w:rPr>
          <w:t xml:space="preserve">industry-standard-canon.md</w:t>
        </w:r>
      </w:hyperlink>
      <w:r>
        <w:t xml:space="preserve">) is the same vocabulary the BOK codifies.</w:t>
      </w:r>
    </w:p>
    <w:p>
      <w:pPr>
        <w:pStyle w:val="BodyText"/>
      </w:pPr>
      <w:r>
        <w:rPr>
          <w:b/>
          <w:bCs/>
        </w:rPr>
        <w:t xml:space="preserve">Topic domains tested → where the curriculum already teaches them: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BOK-facing 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bid/proposal lifecycle and where a pursuit sits in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03;</w:t>
            </w:r>
            <w:r>
              <w:t xml:space="preserve"> </w:t>
            </w:r>
            <w:r>
              <w:rPr>
                <w:rStyle w:val="VerbatimChar"/>
              </w:rPr>
              <w:t xml:space="preserve">industry-standard-canon.md</w:t>
            </w:r>
            <w:r>
              <w:t xml:space="preserve"> </w:t>
            </w:r>
            <w:r>
              <w:t xml:space="preserve">(BD lifecycle map)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Gates, bid/no-bid, and the gate ladder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04; shared-core S2/S5; DL 210 week 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Solicitation reading and the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02; how-to-read-an-rfp/nofo; DL 210 week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Scoring, pWin × value, and threshold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05; shared-core S5; DL 210 week 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Price-to-win as a 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05; DL 220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(concept 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 strategy, discriminators, ghost themes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09; DL 210 week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 teams and proposal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04; how-color-teams-work; DL 302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four volumes</w:t>
            </w:r>
          </w:p>
        </w:tc>
        <w:tc>
          <w:tcPr/>
          <w:p>
            <w:pPr>
              <w:pStyle w:val="Compact"/>
              <w:jc w:val="left"/>
            </w:pPr>
            <w:hyperlink r:id="rId41">
              <w:r>
                <w:rPr>
                  <w:rStyle w:val="VerbatimChar"/>
                </w:rPr>
                <w:t xml:space="preserve">../literacy/the-four-volumes.md</w:t>
              </w:r>
            </w:hyperlink>
            <w:r>
              <w:t xml:space="preserve">; DL 302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gaps — tested, not covered here:</w:t>
      </w:r>
      <w:r>
        <w:t xml:space="preserve"> </w:t>
      </w:r>
      <w:r>
        <w:t xml:space="preserve">the Foundation exam also asks about the</w:t>
      </w:r>
      <w:r>
        <w:t xml:space="preserve"> </w:t>
      </w:r>
      <w:r>
        <w:rPr>
          <w:i/>
          <w:iCs/>
        </w:rPr>
        <w:t xml:space="preserve">operations</w:t>
      </w:r>
      <w:r>
        <w:t xml:space="preserve"> </w:t>
      </w:r>
      <w:r>
        <w:t xml:space="preserve">of a bid/proposal organization — staffing models, pursuit management tools, the logistics of a production calendar — which this curriculum touches at concept level but does not drill. The BOK’s own glossary and tool/template repository is where the exam’s wording lives; this course teaches the concepts, not the BOK’s exam wording.</w:t>
      </w:r>
    </w:p>
    <w:p>
      <w:pPr>
        <w:pStyle w:val="BodyText"/>
      </w:pPr>
      <w:r>
        <w:rPr>
          <w:b/>
          <w:bCs/>
        </w:rPr>
        <w:t xml:space="preserve">Where the student self-studies: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APMP BOK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APMP Foundation Study Guide</w:t>
      </w:r>
      <w:r>
        <w:t xml:space="preserve"> </w:t>
      </w:r>
      <w:r>
        <w:t xml:space="preserve">(the body’s own materials — see</w:t>
      </w:r>
      <w:r>
        <w:t xml:space="preserve"> </w:t>
      </w:r>
      <w:hyperlink w:anchor="the-authoritative-materials-named">
        <w:r>
          <w:rPr>
            <w:rStyle w:val="Hyperlink"/>
          </w:rPr>
          <w:t xml:space="preserve">the authoritative materials</w:t>
        </w:r>
      </w:hyperlink>
      <w:r>
        <w:t xml:space="preserve">); the BOK’s glossary for the exam’s exact vocabulary; three to six months of practice exams from any APMP chapter or training provider.</w:t>
      </w:r>
    </w:p>
    <w:p>
      <w:pPr>
        <w:pStyle w:val="BodyText"/>
      </w:pPr>
      <w:r>
        <w:rPr>
          <w:b/>
          <w:bCs/>
        </w:rPr>
        <w:t xml:space="preserve">The remaining leg:</w:t>
      </w:r>
      <w:r>
        <w:t xml:space="preserve"> </w:t>
      </w:r>
      <w:r>
        <w:t xml:space="preserve">buy the body’s study guide, register for and pass the Foundation exam, and hold 1–3 years of bid/proposal experience. Nothing the curriculum can fix stands between you and the exam except the body’s own materials and your registration.</w:t>
      </w:r>
    </w:p>
    <w:p>
      <w:r>
        <w:pict>
          <v:rect style="width:0;height:1.5pt" o:hralign="center" o:hrstd="t" o:hr="t"/>
        </w:pict>
      </w:r>
    </w:p>
    <w:bookmarkEnd w:id="42"/>
    <w:bookmarkStart w:id="44" w:name="apmp-practitioner-and-professional-cpp"/>
    <w:p>
      <w:pPr>
        <w:pStyle w:val="Heading2"/>
      </w:pPr>
      <w:r>
        <w:t xml:space="preserve">APMP Practitioner and Professional (CPP)</w:t>
      </w:r>
    </w:p>
    <w:p>
      <w:pPr>
        <w:pStyle w:val="FirstParagraph"/>
      </w:pPr>
      <w:r>
        <w:rPr>
          <w:b/>
          <w:bCs/>
        </w:rPr>
        <w:t xml:space="preserve">What they are.</w:t>
      </w:r>
      <w:r>
        <w:t xml:space="preserve"> </w:t>
      </w:r>
      <w:r>
        <w:t xml:space="preserve">The middle and senior rungs of the APMP ladder.</w:t>
      </w:r>
      <w:r>
        <w:t xml:space="preserve"> </w:t>
      </w:r>
      <w:r>
        <w:rPr>
          <w:b/>
          <w:bCs/>
        </w:rPr>
        <w:t xml:space="preserve">Practitioner</w:t>
      </w:r>
      <w:r>
        <w:t xml:space="preserve"> </w:t>
      </w:r>
      <w:r>
        <w:t xml:space="preserve">(3–7 years) is an applied assessment — you demonstrate that you lead others in the practice, not just that you know the terms.</w:t>
      </w:r>
      <w:r>
        <w:t xml:space="preserve"> </w:t>
      </w:r>
      <w:r>
        <w:rPr>
          <w:b/>
          <w:bCs/>
        </w:rPr>
        <w:t xml:space="preserve">Professional, CPP</w:t>
      </w:r>
      <w:r>
        <w:t xml:space="preserve"> </w:t>
      </w:r>
      <w:r>
        <w:t xml:space="preserve">(7+ years) is a three-part process: a professional reference across nine competencies, a</w:t>
      </w:r>
      <w:r>
        <w:t xml:space="preserve"> </w:t>
      </w:r>
      <w:r>
        <w:rPr>
          <w:b/>
          <w:bCs/>
        </w:rPr>
        <w:t xml:space="preserve">Professional Impact Paper</w:t>
      </w:r>
      <w:r>
        <w:t xml:space="preserve"> </w:t>
      </w:r>
      <w:r>
        <w:t xml:space="preserve">scored against a threshold, and a 20-minute presentation with a 25-minute panel interview. The senior credential is not a topic exam at all — it is a judgment that you have</w:t>
      </w:r>
      <w:r>
        <w:t xml:space="preserve"> </w:t>
      </w:r>
      <w:r>
        <w:rPr>
          <w:i/>
          <w:iCs/>
        </w:rPr>
        <w:t xml:space="preserve">done</w:t>
      </w:r>
      <w:r>
        <w:t xml:space="preserve"> </w:t>
      </w:r>
      <w:r>
        <w:t xml:space="preserve">the discipline and can tell the story of it.</w:t>
      </w:r>
    </w:p>
    <w:p>
      <w:pPr>
        <w:pStyle w:val="BodyText"/>
      </w:pPr>
      <w:r>
        <w:rPr>
          <w:b/>
          <w:bCs/>
        </w:rPr>
        <w:t xml:space="preserve">Topic domains tested → where the curriculum already teaches them:</w:t>
      </w:r>
      <w:r>
        <w:t xml:space="preserve"> </w:t>
      </w:r>
      <w:r>
        <w:t xml:space="preserve">the same strong conceptual base as Foundation (the pipeline, gates, scoring, color teams), plus: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What the senior rungs 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Leading the pursuit as a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MBA track’s price-to-win and portfolio sessions; the graduate capture capstone’s</w:t>
            </w:r>
            <w:r>
              <w:t xml:space="preserve"> </w:t>
            </w:r>
            <w:r>
              <w:t xml:space="preserve">“</w:t>
            </w:r>
            <w:r>
              <w:t xml:space="preserve">pursuit as a business</w:t>
            </w:r>
            <w:r>
              <w:t xml:space="preserve">”</w:t>
            </w:r>
            <w:r>
              <w:t xml:space="preserve"> </w:t>
            </w:r>
            <w:r>
              <w:t xml:space="preserve">frame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Portfolio thinking — many pursuits through one pipeline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DL 210 week 12; the SI track’s portfolio/gate sessions;</w:t>
            </w:r>
            <w:r>
              <w:t xml:space="preserve"> </w:t>
            </w:r>
            <w:hyperlink r:id="rId43">
              <w:r>
                <w:rPr>
                  <w:rStyle w:val="VerbatimChar"/>
                </w:rPr>
                <w:t xml:space="preserve">../practice/capstones/graduate-capture-capstone.md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Color-team leadership and review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DL 302; how-color-teams-work; the graduate elective on proposal management &amp; color teams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post-submission loop — debrief, lessons, the compounding pursuit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10; DL 210 week 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t xml:space="preserve">“</w:t>
            </w:r>
            <w:r>
              <w:t xml:space="preserve">doctrine as operating system</w:t>
            </w:r>
            <w:r>
              <w:t xml:space="preserve">”</w:t>
            </w:r>
            <w:r>
              <w:t xml:space="preserve"> </w:t>
            </w:r>
            <w:r>
              <w:t xml:space="preserve">narrative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whole curriculum</w:t>
            </w:r>
            <w:r>
              <w:t xml:space="preserve"> </w:t>
            </w:r>
            <w:r>
              <w:t xml:space="preserve">— a CPP impact paper must tell the story of a discipline applied across a career; that story is what this course teaches you to live and to tell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gaps — tested, not covered here:</w:t>
      </w:r>
      <w:r>
        <w:t xml:space="preserve"> </w:t>
      </w:r>
      <w:r>
        <w:t xml:space="preserve">the experience years, the verifiable impact, and the body’s own assessment instruments. A curriculum cannot manufacture a career. What it</w:t>
      </w:r>
      <w:r>
        <w:t xml:space="preserve"> </w:t>
      </w:r>
      <w:r>
        <w:rPr>
          <w:i/>
          <w:iCs/>
        </w:rPr>
        <w:t xml:space="preserve">can</w:t>
      </w:r>
      <w:r>
        <w:t xml:space="preserve"> </w:t>
      </w:r>
      <w:r>
        <w:t xml:space="preserve">give you is the artifacts — the compliance matrices, ORBITALS, score sheets, and post-mortems — that become the evidence behind the Practitioner assessment and the impact paper, and the vocabulary to tell the story honestly.</w:t>
      </w:r>
    </w:p>
    <w:p>
      <w:pPr>
        <w:pStyle w:val="BodyText"/>
      </w:pPr>
      <w:r>
        <w:rPr>
          <w:b/>
          <w:bCs/>
        </w:rPr>
        <w:t xml:space="preserve">Where the student self-studies:</w:t>
      </w:r>
      <w:r>
        <w:t xml:space="preserve"> </w:t>
      </w:r>
      <w:r>
        <w:t xml:space="preserve">the APMP Practitioner/Professional guidance documents (the body’s own descriptors of the competencies and the impact-paper scoring); APMP chapters run mock-panel sessions that are the single best preparation for the CPP interview. Your course artifacts are the raw material; the body’s format is the target.</w:t>
      </w:r>
    </w:p>
    <w:p>
      <w:r>
        <w:pict>
          <v:rect style="width:0;height:1.5pt" o:hralign="center" o:hrstd="t" o:hr="t"/>
        </w:pict>
      </w:r>
    </w:p>
    <w:bookmarkEnd w:id="44"/>
    <w:bookmarkStart w:id="45" w:name="the-shipley-recognized-set"/>
    <w:p>
      <w:pPr>
        <w:pStyle w:val="Heading2"/>
      </w:pPr>
      <w:r>
        <w:t xml:space="preserve">The Shipley-recognized set</w:t>
      </w:r>
    </w:p>
    <w:p>
      <w:pPr>
        <w:pStyle w:val="FirstParagraph"/>
      </w:pPr>
      <w:r>
        <w:rPr>
          <w:b/>
          <w:bCs/>
        </w:rPr>
        <w:t xml:space="preserve">What it is.</w:t>
      </w:r>
      <w:r>
        <w:t xml:space="preserve"> </w:t>
      </w:r>
      <w:r>
        <w:t xml:space="preserve">Shipley Associates — the consultancy (in practice since the 1970s) whose methodology gave the profession its capture plans, win themes, discriminators, color teams, and the compliance matrix — runs its own training and certification on top of its published guides (</w:t>
      </w:r>
      <w:r>
        <w:rPr>
          <w:i/>
          <w:iCs/>
        </w:rPr>
        <w:t xml:space="preserve">Shipley Proposal Guide</w:t>
      </w:r>
      <w:r>
        <w:t xml:space="preserve">,</w:t>
      </w:r>
      <w:r>
        <w:t xml:space="preserve"> </w:t>
      </w:r>
      <w:r>
        <w:rPr>
          <w:i/>
          <w:iCs/>
        </w:rPr>
        <w:t xml:space="preserve">Business Development Lifecycle Guide</w:t>
      </w:r>
      <w:r>
        <w:t xml:space="preserve">,</w:t>
      </w:r>
      <w:r>
        <w:t xml:space="preserve"> </w:t>
      </w:r>
      <w:r>
        <w:rPr>
          <w:i/>
          <w:iCs/>
        </w:rPr>
        <w:t xml:space="preserve">Winning Business</w:t>
      </w:r>
      <w:r>
        <w:t xml:space="preserve">). Regional variations exist (the star ladder in the APAC region vs. a 6-core + 4-elective unit route in the US market); check Shipley’s current site for the structure in your region. Shipley is also an APMP-accredited training organization, so Shipley courses can count toward APMP credentials.</w:t>
      </w:r>
    </w:p>
    <w:p>
      <w:pPr>
        <w:pStyle w:val="BodyText"/>
      </w:pPr>
      <w:r>
        <w:rPr>
          <w:b/>
          <w:bCs/>
        </w:rPr>
        <w:t xml:space="preserve">Topic domains tested → where the curriculum already teaches them.</w:t>
      </w:r>
      <w:r>
        <w:t xml:space="preserve"> </w:t>
      </w:r>
      <w:r>
        <w:t xml:space="preserve">The Shipley method and this doctrine are the same discipline in two vocabularies: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 method concept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BD lifecycle: marketing → capture → proposal → negotiate → award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03;</w:t>
            </w:r>
            <w:r>
              <w:t xml:space="preserve"> </w:t>
            </w:r>
            <w:r>
              <w:rPr>
                <w:rStyle w:val="VerbatimChar"/>
              </w:rPr>
              <w:t xml:space="preserve">industry-standard-canon.md</w:t>
            </w:r>
            <w:r>
              <w:t xml:space="preserve"> </w:t>
            </w:r>
            <w:r>
              <w:t xml:space="preserve">(the lifecycle mapped onto the pipeline)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gate ladder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04; DL 210 (the seven-gate capture lifecycle)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02; DL 302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 themes, discriminators, ghost themes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09; DL 210 week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04; how-color-teams-work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Price-to-win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05; DL 220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(concept level)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gaps — tested, not covered here:</w:t>
      </w:r>
      <w:r>
        <w:t xml:space="preserve"> </w:t>
      </w:r>
      <w:r>
        <w:t xml:space="preserve">the Shipley certifications assess</w:t>
      </w:r>
      <w:r>
        <w:t xml:space="preserve"> </w:t>
      </w:r>
      <w:r>
        <w:rPr>
          <w:i/>
          <w:iCs/>
        </w:rPr>
        <w:t xml:space="preserve">course completion</w:t>
      </w:r>
      <w:r>
        <w:t xml:space="preserve"> </w:t>
      </w:r>
      <w:r>
        <w:t xml:space="preserve">(One Star) and</w:t>
      </w:r>
      <w:r>
        <w:t xml:space="preserve"> </w:t>
      </w:r>
      <w:r>
        <w:rPr>
          <w:i/>
          <w:iCs/>
        </w:rPr>
        <w:t xml:space="preserve">real-work portfolios judged by Shipley assessors</w:t>
      </w:r>
      <w:r>
        <w:t xml:space="preserve"> </w:t>
      </w:r>
      <w:r>
        <w:t xml:space="preserve">(Two Star / Master). The curriculum teaches the method’s concepts; it cannot substitute for Shipley’s own course delivery or for the assessed portfolio of real work.</w:t>
      </w:r>
    </w:p>
    <w:p>
      <w:pPr>
        <w:pStyle w:val="BodyText"/>
      </w:pPr>
      <w:r>
        <w:rPr>
          <w:b/>
          <w:bCs/>
        </w:rPr>
        <w:t xml:space="preserve">Where the student self-studies:</w:t>
      </w:r>
      <w:r>
        <w:t xml:space="preserve"> </w:t>
      </w:r>
      <w:r>
        <w:t xml:space="preserve">the paid Shipley courses are the One Star assessment itself; for Two Star / Master, the assessed portfolio is built from your real engagements — and the course capstone (</w:t>
      </w:r>
      <w:hyperlink r:id="rId23">
        <w:r>
          <w:rPr>
            <w:rStyle w:val="VerbatimChar"/>
          </w:rPr>
          <w:t xml:space="preserve">../course/capstone-build-an-orbital.md</w:t>
        </w:r>
      </w:hyperlink>
      <w:r>
        <w:t xml:space="preserve">) is deliberately the right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of that portfolio: a real solicitation carried through compliance matrix → ORBITAL → score → bid/no-bid. Take that artifact with you into the assessment.</w:t>
      </w:r>
    </w:p>
    <w:p>
      <w:r>
        <w:pict>
          <v:rect style="width:0;height:1.5pt" o:hralign="center" o:hrstd="t" o:hr="t"/>
        </w:pict>
      </w:r>
    </w:p>
    <w:bookmarkEnd w:id="45"/>
    <w:bookmarkStart w:id="46" w:name="cfcm-certified-federal-contracts-manager"/>
    <w:p>
      <w:pPr>
        <w:pStyle w:val="Heading2"/>
      </w:pPr>
      <w:r>
        <w:t xml:space="preserve">CFCM — Certified Federal Contracts Manager</w:t>
      </w:r>
    </w:p>
    <w:p>
      <w:pPr>
        <w:pStyle w:val="FirstParagraph"/>
      </w:pPr>
      <w:r>
        <w:rPr>
          <w:b/>
          <w:bCs/>
        </w:rPr>
        <w:t xml:space="preserve">What it is.</w:t>
      </w:r>
      <w:r>
        <w:t xml:space="preserve"> </w:t>
      </w:r>
      <w:r>
        <w:t xml:space="preserve">NCMA’s mid-tier credential for the</w:t>
      </w:r>
      <w:r>
        <w:t xml:space="preserve"> </w:t>
      </w:r>
      <w:r>
        <w:rPr>
          <w:i/>
          <w:iCs/>
        </w:rPr>
        <w:t xml:space="preserve">federal contract-management</w:t>
      </w:r>
      <w:r>
        <w:t xml:space="preserve"> </w:t>
      </w:r>
      <w:r>
        <w:t xml:space="preserve">discipline — the buyer-facing craft of managing federal contracts, distinct from proposal writing. The CFCM exam is</w:t>
      </w:r>
      <w:r>
        <w:t xml:space="preserve"> </w:t>
      </w:r>
      <w:r>
        <w:rPr>
          <w:b/>
          <w:bCs/>
        </w:rPr>
        <w:t xml:space="preserve">150 questions and FAR-based</w:t>
      </w:r>
      <w:r>
        <w:t xml:space="preserve">: it tests the Federal Acquisition Regulation as a rulebook, not as a concept. This is the largest single gap between the curriculum and any credential on this page.</w:t>
      </w:r>
    </w:p>
    <w:p>
      <w:pPr>
        <w:pStyle w:val="BodyText"/>
      </w:pPr>
      <w:r>
        <w:rPr>
          <w:b/>
          <w:bCs/>
        </w:rPr>
        <w:t xml:space="preserve">Topic domains tested → where the curriculum already teaches them: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CFCM 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acquisition environment — money, identifiers, small-business 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01; where-the-money-flows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Strong</w:t>
            </w:r>
            <w:r>
              <w:t xml:space="preserve"> </w:t>
            </w:r>
            <w:r>
              <w:t xml:space="preserve">(environment, not rulebook)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Solicitation and award mechanics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02; DL 301 (procurement law &amp; FAR fundamentals)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 as enforceable governance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 (governance); MPA track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  <w:r>
              <w:t xml:space="preserve"> </w:t>
            </w:r>
            <w:r>
              <w:t xml:space="preserve">(concept, not article-level)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 formation and the acquisition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DL 301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 Parts 12/15 depth — commercial items, negotiated procurement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Not taught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Gap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gap, stated plainly:</w:t>
      </w:r>
      <w:r>
        <w:t xml:space="preserve"> </w:t>
      </w:r>
      <w:r>
        <w:rPr>
          <w:i/>
          <w:iCs/>
        </w:rPr>
        <w:t xml:space="preserve">FAR article-level depth is not taught.</w:t>
      </w:r>
      <w:r>
        <w:t xml:space="preserve"> </w:t>
      </w:r>
      <w:r>
        <w:t xml:space="preserve">This course treats the FAR as the governance frame around the pursuit; the CFCM exam treats it as the object of study. A CFCM candidate needs FAR Parts 12 and 15 (and the surrounding parts) at article depth — a textbook or a DAU-equivalent course — well beyond this curriculum.</w:t>
      </w:r>
    </w:p>
    <w:p>
      <w:pPr>
        <w:pStyle w:val="BodyText"/>
      </w:pPr>
      <w:r>
        <w:rPr>
          <w:b/>
          <w:bCs/>
        </w:rPr>
        <w:t xml:space="preserve">Where the student self-studies: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FAR itself, at acquisition.gov</w:t>
      </w:r>
      <w:r>
        <w:t xml:space="preserve"> </w:t>
      </w:r>
      <w:r>
        <w:t xml:space="preserve">(already in</w:t>
      </w:r>
      <w:r>
        <w:t xml:space="preserve"> </w:t>
      </w:r>
      <w:hyperlink r:id="rId20">
        <w:r>
          <w:rPr>
            <w:rStyle w:val="Hyperlink"/>
          </w:rPr>
          <w:t xml:space="preserve">Further Reading</w:t>
        </w:r>
      </w:hyperlink>
      <w:r>
        <w:t xml:space="preserve">), read at article level for Parts 12/15; the</w:t>
      </w:r>
      <w:r>
        <w:t xml:space="preserve"> </w:t>
      </w:r>
      <w:r>
        <w:rPr>
          <w:b/>
          <w:bCs/>
        </w:rPr>
        <w:t xml:space="preserve">NCMA CMBOK</w:t>
      </w:r>
      <w:r>
        <w:t xml:space="preserve"> </w:t>
      </w:r>
      <w:r>
        <w:t xml:space="preserve">and NCMA’s CFCM exam-prep materials; a DAU-equivalent course (CON 1100–1400 style, available from Graduate School USA, Management Concepts, or DAU for the government-side) for the depth a civilian contractor needs. Count on the body’s CMBOK as your anchor text.</w:t>
      </w:r>
    </w:p>
    <w:p>
      <w:pPr>
        <w:pStyle w:val="BodyText"/>
      </w:pPr>
      <w:r>
        <w:rPr>
          <w:b/>
          <w:bCs/>
        </w:rPr>
        <w:t xml:space="preserve">The remaining leg:</w:t>
      </w:r>
      <w:r>
        <w:t xml:space="preserve"> </w:t>
      </w:r>
      <w:r>
        <w:t xml:space="preserve">NCMA’s CFCM exam (via Kryterion), 2 years of contract-management experience, and 80 CPE credits. Note the curriculum’s frame: this is a</w:t>
      </w:r>
      <w:r>
        <w:t xml:space="preserve"> </w:t>
      </w:r>
      <w:r>
        <w:rPr>
          <w:i/>
          <w:iCs/>
        </w:rPr>
        <w:t xml:space="preserve">buyer-side</w:t>
      </w:r>
      <w:r>
        <w:t xml:space="preserve"> </w:t>
      </w:r>
      <w:r>
        <w:t xml:space="preserve">credential. The course teaches the private-side mirror — reading the government’s documents from the offeror’s side — which is the right posture for a pursuer, not a substitute for the contracting craft.</w:t>
      </w:r>
    </w:p>
    <w:p>
      <w:r>
        <w:pict>
          <v:rect style="width:0;height:1.5pt" o:hralign="center" o:hrstd="t" o:hr="t"/>
        </w:pict>
      </w:r>
    </w:p>
    <w:bookmarkEnd w:id="46"/>
    <w:bookmarkStart w:id="47" w:name="X5a1425198c8cf03c2736582c43bb6f2262b3ec4"/>
    <w:p>
      <w:pPr>
        <w:pStyle w:val="Heading2"/>
      </w:pPr>
      <w:r>
        <w:t xml:space="preserve">CPCM — Certified Professional Contracts Manager</w:t>
      </w:r>
    </w:p>
    <w:p>
      <w:pPr>
        <w:pStyle w:val="FirstParagraph"/>
      </w:pPr>
      <w:r>
        <w:rPr>
          <w:b/>
          <w:bCs/>
        </w:rPr>
        <w:t xml:space="preserve">What it is.</w:t>
      </w:r>
      <w:r>
        <w:t xml:space="preserve"> </w:t>
      </w:r>
      <w:r>
        <w:t xml:space="preserve">NCMA’s senior credential, the highest rung of the contract-management ladder. The CPCM exam (~179 questions) tests the</w:t>
      </w:r>
      <w:r>
        <w:t xml:space="preserve"> </w:t>
      </w:r>
      <w:r>
        <w:rPr>
          <w:b/>
          <w:bCs/>
        </w:rPr>
        <w:t xml:space="preserve">Contract Management Body of Knowledge (CMBOK)</w:t>
      </w:r>
      <w:r>
        <w:t xml:space="preserve"> </w:t>
      </w:r>
      <w:r>
        <w:t xml:space="preserve">across the</w:t>
      </w:r>
      <w:r>
        <w:t xml:space="preserve"> </w:t>
      </w:r>
      <w:r>
        <w:rPr>
          <w:b/>
          <w:bCs/>
        </w:rPr>
        <w:t xml:space="preserve">full contract lifecycle</w:t>
      </w:r>
      <w:r>
        <w:t xml:space="preserve"> </w:t>
      </w:r>
      <w:r>
        <w:t xml:space="preserve">— pre-award, award, and post-award — and requires 5 years of contract-management experience plus 120 CPE credits, with recertification every 5 years.</w:t>
      </w:r>
    </w:p>
    <w:p>
      <w:pPr>
        <w:pStyle w:val="BodyText"/>
      </w:pPr>
      <w:r>
        <w:rPr>
          <w:b/>
          <w:bCs/>
        </w:rPr>
        <w:t xml:space="preserve">Topic domains tested → where the curriculum already teaches them: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CPCM 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Pre-award concepts — requirements, solicitation, 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02; DL 301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and the public-side frame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04; MPA track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Pricing and cost concepts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05; DL 220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Medium</w:t>
            </w:r>
            <w:r>
              <w:t xml:space="preserve"> </w:t>
            </w:r>
            <w:r>
              <w:t xml:space="preserve">(concept 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Post-award administration</w:t>
            </w:r>
            <w:r>
              <w:t xml:space="preserve"> </w:t>
            </w:r>
            <w:r>
              <w:t xml:space="preserve">— performance, modifications, terminations, closeout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07 (deliver stage, conceptually); MBA track flywheel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Weak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gap, stated plainly:</w:t>
      </w:r>
      <w:r>
        <w:t xml:space="preserve"> </w:t>
      </w:r>
      <w:r>
        <w:rPr>
          <w:i/>
          <w:iCs/>
        </w:rPr>
        <w:t xml:space="preserve">post-award contract administration is not taught.</w:t>
      </w:r>
      <w:r>
        <w:t xml:space="preserve"> </w:t>
      </w:r>
      <w:r>
        <w:t xml:space="preserve">The curriculum stops conceptually at award and delivery; the CPCM exam spans performance monitoring, contract modifications, terminations, and closeout — the whole administration phase after the signature. This is the second-largest gap on this page.</w:t>
      </w:r>
    </w:p>
    <w:p>
      <w:pPr>
        <w:pStyle w:val="BodyText"/>
      </w:pPr>
      <w:r>
        <w:rPr>
          <w:b/>
          <w:bCs/>
        </w:rPr>
        <w:t xml:space="preserve">Where the student self-studies: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NCMA CMBOK</w:t>
      </w:r>
      <w:r>
        <w:t xml:space="preserve"> </w:t>
      </w:r>
      <w:r>
        <w:t xml:space="preserve">as the anchor; the FAR’s post-award parts (performance and delivery, contract modifications, terminations, closeout) at article depth; NCMA’s CPCM exam-prep materials and handbooks. If NCMA alignment becomes a career goal, the curriculum itself could grow a post-award literacy page — but note the honest framing: the curriculum is concept-first and deliberately pursuit-side; NCMA is fundamentally a buyer-side credential, and a CPCM candidate is entering a different discipline than the one this course teaches.</w:t>
      </w:r>
    </w:p>
    <w:p>
      <w:r>
        <w:pict>
          <v:rect style="width:0;height:1.5pt" o:hralign="center" o:hrstd="t" o:hr="t"/>
        </w:pict>
      </w:r>
    </w:p>
    <w:bookmarkEnd w:id="47"/>
    <w:bookmarkStart w:id="48" w:name="the-authoritative-materials-named"/>
    <w:p>
      <w:pPr>
        <w:pStyle w:val="Heading2"/>
      </w:pPr>
      <w:r>
        <w:t xml:space="preserve">The authoritative materials, named</w:t>
      </w:r>
    </w:p>
    <w:p>
      <w:pPr>
        <w:pStyle w:val="FirstParagraph"/>
      </w:pPr>
      <w:r>
        <w:t xml:space="preserve">These are the bodies’ own reference works — the anchor texts for any credential on this page. Names only, license-clean: the curriculum cites them as the authority but reproduces none of their content. The current editions and any required exam-prep bundles come from the bodies directly.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Materials (names)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which credential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APMP Body of Knowledge (the BOK); the APMP Foundation Study Guide; APMP Practitioner/Professional guidance documents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Foundation, Practitioner, Professional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NCMA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Contract Management Body of Knowledge (CMBOK); the CFCM/CPCM handbooks and exam-prep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CFCM, CPCM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Associates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Winning Business</w:t>
            </w:r>
            <w:r>
              <w:t xml:space="preserve">;</w:t>
            </w:r>
            <w:r>
              <w:t xml:space="preserve"> </w:t>
            </w:r>
            <w:r>
              <w:rPr>
                <w:i/>
                <w:iCs/>
              </w:rPr>
              <w:t xml:space="preserve">The Shipley Proposal Guide</w:t>
            </w:r>
            <w:r>
              <w:t xml:space="preserve">;</w:t>
            </w:r>
            <w:r>
              <w:t xml:space="preserve"> </w:t>
            </w:r>
            <w:r>
              <w:rPr>
                <w:i/>
                <w:iCs/>
              </w:rPr>
              <w:t xml:space="preserve">The Business Development Lifecycle Guide</w:t>
            </w:r>
            <w:r>
              <w:t xml:space="preserve"> </w:t>
            </w:r>
            <w:r>
              <w:t xml:space="preserve">(also titled the</w:t>
            </w:r>
            <w:r>
              <w:t xml:space="preserve"> </w:t>
            </w:r>
            <w:r>
              <w:rPr>
                <w:i/>
                <w:iCs/>
              </w:rPr>
              <w:t xml:space="preserve">Shipley Business Development Lifecycle Guide</w:t>
            </w:r>
            <w:r>
              <w:t xml:space="preserve">); the current Shipley certification courseware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Certified (One Star), Two Star / Master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PMI</w:t>
            </w:r>
            <w:r>
              <w:t xml:space="preserve"> </w:t>
            </w:r>
            <w:r>
              <w:t xml:space="preserve">(complementary)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PMBOK 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PMP, CAPM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Public rulebook</w:t>
            </w:r>
            <w:r>
              <w:t xml:space="preserve"> </w:t>
            </w:r>
            <w:r>
              <w:t xml:space="preserve">(shared)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FAR and DFARS at acquisition.gov; OMB/grants-policy texts at Grants.gov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CFCM/CPCM depth; every credential’s legal context</w:t>
            </w:r>
          </w:p>
        </w:tc>
      </w:tr>
    </w:tbl>
    <w:p>
      <w:pPr>
        <w:pStyle w:val="BodyText"/>
      </w:pPr>
      <w:r>
        <w:t xml:space="preserve">The curriculum’s own Shipley book canon — the same titles mapped to the modules that teach them — lives in</w:t>
      </w:r>
      <w:r>
        <w:t xml:space="preserve"> </w:t>
      </w:r>
      <w:hyperlink r:id="rId25">
        <w:r>
          <w:rPr>
            <w:rStyle w:val="VerbatimChar"/>
          </w:rPr>
          <w:t xml:space="preserve">industry-standard-canon.md</w:t>
        </w:r>
      </w:hyperlink>
      <w:r>
        <w:t xml:space="preserve">. The government-side FAC-C / DAWIA certificates are not listed here because they are</w:t>
      </w:r>
      <w:r>
        <w:t xml:space="preserve"> </w:t>
      </w:r>
      <w:r>
        <w:rPr>
          <w:i/>
          <w:iCs/>
        </w:rPr>
        <w:t xml:space="preserve">government workforce</w:t>
      </w:r>
      <w:r>
        <w:t xml:space="preserve"> </w:t>
      </w:r>
      <w:r>
        <w:t xml:space="preserve">credentials, not industry ones: they certify the buyer side of the transaction and require a government role (see the research for the full treatment).</w:t>
      </w:r>
    </w:p>
    <w:p>
      <w:r>
        <w:pict>
          <v:rect style="width:0;height:1.5pt" o:hralign="center" o:hrstd="t" o:hr="t"/>
        </w:pict>
      </w:r>
    </w:p>
    <w:bookmarkEnd w:id="48"/>
    <w:bookmarkStart w:id="49" w:name="a-study-plan-skeleton"/>
    <w:p>
      <w:pPr>
        <w:pStyle w:val="Heading2"/>
      </w:pPr>
      <w:r>
        <w:t xml:space="preserve">A study-plan skeleton</w:t>
      </w:r>
    </w:p>
    <w:p>
      <w:pPr>
        <w:pStyle w:val="FirstParagraph"/>
      </w:pPr>
      <w:r>
        <w:t xml:space="preserve">The skeleton below is credential-agnostic — it works for APMP Foundation, CFCM, CPCM, or Shipley One Star, with a different body-of-knowledge anchor per row. The honest engine of the plan is the</w:t>
      </w:r>
      <w:r>
        <w:t xml:space="preserve"> </w:t>
      </w:r>
      <w:r>
        <w:rPr>
          <w:b/>
          <w:bCs/>
        </w:rPr>
        <w:t xml:space="preserve">audit → fill → drill → sit</w:t>
      </w:r>
      <w:r>
        <w:t xml:space="preserve"> </w:t>
      </w:r>
      <w:r>
        <w:t xml:space="preserve">loop, and the curriculum’s contribution is the audit and the fill.</w:t>
      </w:r>
    </w:p>
    <w:p>
      <w:pPr>
        <w:pStyle w:val="BodyText"/>
      </w:pPr>
      <w:r>
        <w:rPr>
          <w:b/>
          <w:bCs/>
        </w:rPr>
        <w:t xml:space="preserve">Phase 1 — Audit (1 week).</w:t>
      </w:r>
      <w:r>
        <w:t xml:space="preserve"> </w:t>
      </w:r>
      <w:r>
        <w:t xml:space="preserve">Take the credential’s topic list (from its body-of-knowledge) and grade yourself against the master table in this page:</w:t>
      </w:r>
      <w:r>
        <w:t xml:space="preserve"> </w:t>
      </w:r>
      <w:r>
        <w:rPr>
          <w:i/>
          <w:iCs/>
        </w:rPr>
        <w:t xml:space="preserve">where did the curriculum already teach me this, and how strong am I?</w:t>
      </w:r>
      <w:r>
        <w:t xml:space="preserve"> </w:t>
      </w:r>
      <w:r>
        <w:t xml:space="preserve">For every topic scored</w:t>
      </w:r>
      <w:r>
        <w:t xml:space="preserve"> </w:t>
      </w:r>
      <w:r>
        <w:t xml:space="preserve">“</w:t>
      </w:r>
      <w:r>
        <w:t xml:space="preserve">Medium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Weak,</w:t>
      </w:r>
      <w:r>
        <w:t xml:space="preserve">”</w:t>
      </w:r>
      <w:r>
        <w:t xml:space="preserve"> </w:t>
      </w:r>
      <w:r>
        <w:t xml:space="preserve">that is your gap list. Build the list; it is your syllabus.</w:t>
      </w:r>
    </w:p>
    <w:p>
      <w:pPr>
        <w:pStyle w:val="BodyText"/>
      </w:pPr>
      <w:r>
        <w:rPr>
          <w:b/>
          <w:bCs/>
        </w:rPr>
        <w:t xml:space="preserve">Phase 2 — Fill (4–6 weeks).</w:t>
      </w:r>
      <w:r>
        <w:t xml:space="preserve"> </w:t>
      </w:r>
      <w:r>
        <w:t xml:space="preserve">For each gap, work the curriculum module that teaches the adjacent concept (the coverage table points you to it), then close the residual gap with the body’s own materials — the BOK/CMBOK chapter, the FAR parts, the guide. The discipline is the same as the doctrine’s: one artifact per gap. A FAR gap gets a one-page brief of the part; a pricing gap gets a worked price-to-win; a color-team gap gets a findings log.</w:t>
      </w:r>
    </w:p>
    <w:p>
      <w:pPr>
        <w:pStyle w:val="BodyText"/>
      </w:pPr>
      <w:r>
        <w:rPr>
          <w:b/>
          <w:bCs/>
        </w:rPr>
        <w:t xml:space="preserve">Phase 3 — Drill (2–3 weeks).</w:t>
      </w:r>
      <w:r>
        <w:t xml:space="preserve"> </w:t>
      </w:r>
      <w:r>
        <w:t xml:space="preserve">Work the body’s practice materials and any chapter/partner mock sessions. This is where the exam’s</w:t>
      </w:r>
      <w:r>
        <w:t xml:space="preserve"> </w:t>
      </w:r>
      <w:r>
        <w:rPr>
          <w:i/>
          <w:iCs/>
        </w:rPr>
        <w:t xml:space="preserve">wording</w:t>
      </w:r>
      <w:r>
        <w:t xml:space="preserve"> </w:t>
      </w:r>
      <w:r>
        <w:t xml:space="preserve">is learned — the curriculum cannot give you this, and no one should expect it to. If the credential is applied (Practitioner, Two Star), assemble the work artifacts — your course capstone, your score sheets, your post-mortems — into the assessment portfolio the body asks for.</w:t>
      </w:r>
    </w:p>
    <w:p>
      <w:pPr>
        <w:pStyle w:val="BodyText"/>
      </w:pPr>
      <w:r>
        <w:rPr>
          <w:b/>
          <w:bCs/>
        </w:rPr>
        <w:t xml:space="preserve">Phase 4 — Sit and maintain.</w:t>
      </w:r>
      <w:r>
        <w:t xml:space="preserve"> </w:t>
      </w:r>
      <w:r>
        <w:t xml:space="preserve">Register, sit the exam or the assessment, and plan the maintenance (CPD points, recertification hours, CPE) on the body’s cadence. The discipline of a career in this field is the same as the discipline of the pipeline: the credential is a checkpoint, not a finish line.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Credential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 for the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biggest gap to plan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APMP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BOK topic 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 wording and BOK glossary, not concepts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APMP Professional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nine competencies + impact-paper descriptors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experience years and the paper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Shipley One Star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syllabus (paid course)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itself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CFCM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CMBOK + FAR Parts 12/15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article-level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CPCM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CMBOK full lifecycle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Post-award administration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Start w:id="51" w:name="the-credential-ladder-your-career-map"/>
    <w:p>
      <w:pPr>
        <w:pStyle w:val="Heading2"/>
      </w:pPr>
      <w:r>
        <w:t xml:space="preserve">The credential ladder — your career map</w:t>
      </w:r>
    </w:p>
    <w:p>
      <w:pPr>
        <w:pStyle w:val="FirstParagraph"/>
      </w:pPr>
      <w:r>
        <w:t xml:space="preserve">The five credentials above are not five separate decisions; they are the map of where this discipline can take a career. The recommended single artifact for navigating that map is the</w:t>
      </w:r>
      <w:r>
        <w:t xml:space="preserve"> </w:t>
      </w:r>
      <w:r>
        <w:rPr>
          <w:b/>
          <w:bCs/>
        </w:rPr>
        <w:t xml:space="preserve">credential ladder career map</w:t>
      </w:r>
      <w:r>
        <w:t xml:space="preserve"> </w:t>
      </w:r>
      <w:r>
        <w:t xml:space="preserve">— a page that shows the four directions a graduate can walk —</w:t>
      </w:r>
      <w:r>
        <w:t xml:space="preserve"> </w:t>
      </w:r>
      <w:r>
        <w:rPr>
          <w:i/>
          <w:iCs/>
        </w:rPr>
        <w:t xml:space="preserve">proposal/capture</w:t>
      </w:r>
      <w:r>
        <w:t xml:space="preserve"> </w:t>
      </w:r>
      <w:r>
        <w:t xml:space="preserve">(APMP Foundation → Practitioner → Professional; the Shipley set),</w:t>
      </w:r>
      <w:r>
        <w:t xml:space="preserve"> </w:t>
      </w:r>
      <w:r>
        <w:rPr>
          <w:i/>
          <w:iCs/>
        </w:rPr>
        <w:t xml:space="preserve">contracts</w:t>
      </w:r>
      <w:r>
        <w:t xml:space="preserve"> </w:t>
      </w:r>
      <w:r>
        <w:t xml:space="preserve">(NCMA CFCM → CPCM),</w:t>
      </w:r>
      <w:r>
        <w:t xml:space="preserve"> </w:t>
      </w:r>
      <w:r>
        <w:rPr>
          <w:i/>
          <w:iCs/>
        </w:rPr>
        <w:t xml:space="preserve">program/project delivery</w:t>
      </w:r>
      <w:r>
        <w:t xml:space="preserve"> </w:t>
      </w:r>
      <w:r>
        <w:t xml:space="preserve">(CAPM → PMP), and</w:t>
      </w:r>
      <w:r>
        <w:t xml:space="preserve"> </w:t>
      </w:r>
      <w:r>
        <w:rPr>
          <w:i/>
          <w:iCs/>
        </w:rPr>
        <w:t xml:space="preserve">services marketing/BD</w:t>
      </w:r>
      <w:r>
        <w:t xml:space="preserve"> </w:t>
      </w:r>
      <w:r>
        <w:t xml:space="preserve">(CPSM) — with each direction’s concept-alignment back to the doctrine. That is the</w:t>
      </w:r>
      <w:r>
        <w:t xml:space="preserve"> </w:t>
      </w:r>
      <w:r>
        <w:rPr>
          <w:b/>
          <w:bCs/>
        </w:rPr>
        <w:t xml:space="preserve">credential ladder</w:t>
      </w:r>
      <w:r>
        <w:t xml:space="preserve">:</w:t>
      </w:r>
      <w:r>
        <w:t xml:space="preserve"> </w:t>
      </w:r>
      <w:hyperlink r:id="rId50">
        <w:r>
          <w:rPr>
            <w:rStyle w:val="VerbatimChar"/>
          </w:rPr>
          <w:t xml:space="preserve">credential-ladder.md</w:t>
        </w:r>
      </w:hyperlink>
      <w:r>
        <w:t xml:space="preserve">.</w:t>
      </w:r>
    </w:p>
    <w:p>
      <w:pPr>
        <w:pStyle w:val="BodyText"/>
      </w:pPr>
      <w:r>
        <w:t xml:space="preserve">Use it the way the doctrine teaches every map: pick the lane that fits the work you actually want to do, and let the ladder show you which credential, on what experience base, next. The credential is the checkpoint; the career is the pursuit.</w:t>
      </w:r>
    </w:p>
    <w:p>
      <w:r>
        <w:pict>
          <v:rect style="width:0;height:1.5pt" o:hralign="center" o:hrstd="t" o:hr="t"/>
        </w:pict>
      </w:r>
    </w:p>
    <w:bookmarkEnd w:id="51"/>
    <w:bookmarkStart w:id="52" w:name="one-practice-loop"/>
    <w:p>
      <w:pPr>
        <w:pStyle w:val="Heading2"/>
      </w:pPr>
      <w:r>
        <w:t xml:space="preserve">One practice loop</w:t>
      </w:r>
    </w:p>
    <w:p>
      <w:pPr>
        <w:pStyle w:val="Compact"/>
        <w:numPr>
          <w:ilvl w:val="0"/>
          <w:numId w:val="1002"/>
        </w:numPr>
      </w:pPr>
      <w:r>
        <w:t xml:space="preserve">Pick the credential you are closest to (or most curious about). Write its name at the top of a page.</w:t>
      </w:r>
    </w:p>
    <w:p>
      <w:pPr>
        <w:pStyle w:val="Compact"/>
        <w:numPr>
          <w:ilvl w:val="0"/>
          <w:numId w:val="1002"/>
        </w:numPr>
      </w:pPr>
      <w:r>
        <w:t xml:space="preserve">Grade yourself against that credential’s rows in the master topic table — honestly, in the two columns</w:t>
      </w:r>
      <w:r>
        <w:t xml:space="preserve"> </w:t>
      </w:r>
      <w:r>
        <w:t xml:space="preserve">“</w:t>
      </w:r>
      <w:r>
        <w:t xml:space="preserve">curriculum covered this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I could defend this in a room.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Where the two columns disagree — the curriculum covered it but you could not defend it — that is not a gap in the curriculum; that is your practice assignment. Work it until the defense is boring.</w:t>
      </w:r>
    </w:p>
    <w:p>
      <w:pPr>
        <w:pStyle w:val="FirstParagraph"/>
      </w:pPr>
      <w:r>
        <w:t xml:space="preserve">You now have the honest map: what the curriculum gives you, what the bodies keep for themselves, and where your own work is the missing leg. A credential is a signal of discipline — and the discipline, this course can teach.</w:t>
      </w:r>
    </w:p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9" Type="http://schemas.openxmlformats.org/officeDocument/2006/relationships/hyperlink" Target="../doctrine/07-lifecycle-dream-orbital-world.md" TargetMode="External"/><Relationship Id="rId51" Type="http://schemas.openxmlformats.org/officeDocument/2006/relationships/customXml" Target="../customXml/item1.xml"/><Relationship Id="rId3" Type="http://schemas.openxmlformats.org/officeDocument/2006/relationships/settings" Target="settings.xml"/><Relationship Id="rId34" Type="http://schemas.openxmlformats.org/officeDocument/2006/relationships/hyperlink" Target="../doctrine/09-capture-and-competitive-strategy.md" TargetMode="External"/><Relationship Id="rId21" Type="http://schemas.openxmlformats.org/officeDocument/2006/relationships/hyperlink" Target="../research/credential-mapping.md" TargetMode="External"/><Relationship Id="rId50" Type="http://schemas.openxmlformats.org/officeDocument/2006/relationships/hyperlink" Target="credential-ladder.md" TargetMode="External"/><Relationship Id="rId7" Type="http://schemas.openxmlformats.org/officeDocument/2006/relationships/footnotes" Target="footnotes.xml"/><Relationship Id="rId38" Type="http://schemas.openxmlformats.org/officeDocument/2006/relationships/hyperlink" Target="../case-study/ravonics.md" TargetMode="External"/><Relationship Id="rId33" Type="http://schemas.openxmlformats.org/officeDocument/2006/relationships/hyperlink" Target="../doctrine/05-scoring-and-price-to-win.md" TargetMode="External"/><Relationship Id="rId25" Type="http://schemas.openxmlformats.org/officeDocument/2006/relationships/hyperlink" Target="industry-standard-canon.md" TargetMode="External"/><Relationship Id="rId2" Type="http://schemas.openxmlformats.org/officeDocument/2006/relationships/styles" Target="styles.xml"/><Relationship Id="rId29" Type="http://schemas.openxmlformats.org/officeDocument/2006/relationships/hyperlink" Target="../modules/shared-core.md" TargetMode="External"/><Relationship Id="rId20" Type="http://schemas.openxmlformats.org/officeDocument/2006/relationships/hyperlink" Target="further-reading.md" TargetMode="External"/><Relationship Id="rId41" Type="http://schemas.openxmlformats.org/officeDocument/2006/relationships/hyperlink" Target="the-four-volumes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../doctrine/08-tools-change-concepts-dont.md" TargetMode="External"/><Relationship Id="rId32" Type="http://schemas.openxmlformats.org/officeDocument/2006/relationships/hyperlink" Target="how-to-read-a-nofo.md" TargetMode="External"/><Relationship Id="rId37" Type="http://schemas.openxmlformats.org/officeDocument/2006/relationships/hyperlink" Target="where-the-money-flows.md" TargetMode="External"/><Relationship Id="rId53" Type="http://schemas.openxmlformats.org/officeDocument/2006/relationships/customXml" Target="../customXml/item3.xml"/><Relationship Id="rId5" Type="http://schemas.openxmlformats.org/officeDocument/2006/relationships/fontTable" Target="fontTable.xml"/><Relationship Id="rId23" Type="http://schemas.openxmlformats.org/officeDocument/2006/relationships/hyperlink" Target="../course/capstone-build-an-orbital.md" TargetMode="External"/><Relationship Id="rId36" Type="http://schemas.openxmlformats.org/officeDocument/2006/relationships/hyperlink" Target="../doctrine/01-where-the-money-lives.md" TargetMode="External"/><Relationship Id="rId28" Type="http://schemas.openxmlformats.org/officeDocument/2006/relationships/hyperlink" Target="../doctrine/04-gates-and-governance.md" TargetMode="External"/><Relationship Id="rId31" Type="http://schemas.openxmlformats.org/officeDocument/2006/relationships/hyperlink" Target="how-to-read-an-rfp.md" TargetMode="External"/><Relationship Id="rId52" Type="http://schemas.openxmlformats.org/officeDocument/2006/relationships/customXml" Target="../customXml/item2.xml"/><Relationship Id="rId4" Type="http://schemas.openxmlformats.org/officeDocument/2006/relationships/webSettings" Target="webSettings.xml"/><Relationship Id="rId30" Type="http://schemas.openxmlformats.org/officeDocument/2006/relationships/hyperlink" Target="../doctrine/02-rfps-and-solicitations.md" TargetMode="External"/><Relationship Id="rId27" Type="http://schemas.openxmlformats.org/officeDocument/2006/relationships/hyperlink" Target="../doctrine/03-the-pursuit-pipeline.md" TargetMode="External"/><Relationship Id="rId43" Type="http://schemas.openxmlformats.org/officeDocument/2006/relationships/hyperlink" Target="../practice/capstones/graduate-capture-capstone.md" TargetMode="External"/><Relationship Id="rId35" Type="http://schemas.openxmlformats.org/officeDocument/2006/relationships/hyperlink" Target="how-color-teams-work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../case-study/ravonics.md" TargetMode="External" /><Relationship Type="http://schemas.openxmlformats.org/officeDocument/2006/relationships/hyperlink" Id="rId23" Target="../course/capstone-build-an-orbital.md" TargetMode="External" /><Relationship Type="http://schemas.openxmlformats.org/officeDocument/2006/relationships/hyperlink" Id="rId36" Target="../doctrine/01-where-the-money-lives.md" TargetMode="External" /><Relationship Type="http://schemas.openxmlformats.org/officeDocument/2006/relationships/hyperlink" Id="rId30" Target="../doctrine/02-rfps-and-solicitations.md" TargetMode="External" /><Relationship Type="http://schemas.openxmlformats.org/officeDocument/2006/relationships/hyperlink" Id="rId27" Target="../doctrine/03-the-pursuit-pipeline.md" TargetMode="External" /><Relationship Type="http://schemas.openxmlformats.org/officeDocument/2006/relationships/hyperlink" Id="rId28" Target="../doctrine/04-gates-and-governance.md" TargetMode="External" /><Relationship Type="http://schemas.openxmlformats.org/officeDocument/2006/relationships/hyperlink" Id="rId33" Target="../doctrine/05-scoring-and-price-to-win.md" TargetMode="External" /><Relationship Type="http://schemas.openxmlformats.org/officeDocument/2006/relationships/hyperlink" Id="rId39" Target="../doctrine/07-lifecycle-dream-orbital-world.md" TargetMode="External" /><Relationship Type="http://schemas.openxmlformats.org/officeDocument/2006/relationships/hyperlink" Id="rId24" Target="../doctrine/08-tools-change-concepts-dont.md" TargetMode="External" /><Relationship Type="http://schemas.openxmlformats.org/officeDocument/2006/relationships/hyperlink" Id="rId34" Target="../doctrine/09-capture-and-competitive-strategy.md" TargetMode="External" /><Relationship Type="http://schemas.openxmlformats.org/officeDocument/2006/relationships/hyperlink" Id="rId29" Target="../modules/shared-core.md" TargetMode="External" /><Relationship Type="http://schemas.openxmlformats.org/officeDocument/2006/relationships/hyperlink" Id="rId43" Target="../practice/capstones/graduate-capture-capstone.md" TargetMode="External" /><Relationship Type="http://schemas.openxmlformats.org/officeDocument/2006/relationships/hyperlink" Id="rId21" Target="../research/credential-mapping.md" TargetMode="External" /><Relationship Type="http://schemas.openxmlformats.org/officeDocument/2006/relationships/hyperlink" Id="rId50" Target="credential-ladder.md" TargetMode="External" /><Relationship Type="http://schemas.openxmlformats.org/officeDocument/2006/relationships/hyperlink" Id="rId20" Target="further-reading.md" TargetMode="External" /><Relationship Type="http://schemas.openxmlformats.org/officeDocument/2006/relationships/hyperlink" Id="rId35" Target="how-color-teams-work.md" TargetMode="External" /><Relationship Type="http://schemas.openxmlformats.org/officeDocument/2006/relationships/hyperlink" Id="rId32" Target="how-to-read-a-nofo.md" TargetMode="External" /><Relationship Type="http://schemas.openxmlformats.org/officeDocument/2006/relationships/hyperlink" Id="rId31" Target="how-to-read-an-rfp.md" TargetMode="External" /><Relationship Type="http://schemas.openxmlformats.org/officeDocument/2006/relationships/hyperlink" Id="rId25" Target="industry-standard-canon.md" TargetMode="External" /><Relationship Type="http://schemas.openxmlformats.org/officeDocument/2006/relationships/hyperlink" Id="rId41" Target="the-four-volumes.md" TargetMode="External" /><Relationship Type="http://schemas.openxmlformats.org/officeDocument/2006/relationships/hyperlink" Id="rId37" Target="where-the-money-flows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F4D3976-B3A1-4B80-8F9C-7EF879AE2B7E}"/>
</file>

<file path=customXml/itemProps2.xml><?xml version="1.0" encoding="utf-8"?>
<ds:datastoreItem xmlns:ds="http://schemas.openxmlformats.org/officeDocument/2006/customXml" ds:itemID="{012105D3-416C-4BDE-9344-9FF93250C857}"/>
</file>

<file path=customXml/itemProps3.xml><?xml version="1.0" encoding="utf-8"?>
<ds:datastoreItem xmlns:ds="http://schemas.openxmlformats.org/officeDocument/2006/customXml" ds:itemID="{6F6992AA-96E3-4392-90EC-F3725FF5AEA2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2026-08-05T17:24:57Z</dcterms:created>
  <dcterms:modified xsi:type="dcterms:W3CDTF">2026-08-05T17:24:57Z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