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95ca0cf847d0d08d54c72e076e3c1ce80819a32"/>
    <w:p>
      <w:pPr>
        <w:pStyle w:val="Heading1"/>
      </w:pPr>
      <w:r>
        <w:t xml:space="preserve">Literacy — Agencies: GSA, the Procurement Backbone</w:t>
      </w:r>
    </w:p>
    <w:p>
      <w:pPr>
        <w:pStyle w:val="FirstParagraph"/>
      </w:pPr>
      <w:r>
        <w:rPr>
          <w:i/>
          <w:iCs/>
        </w:rPr>
        <w:t xml:space="preserve">The General Services Administration does not need most of what it buys — it runs the store the rest of government shops at. GSA’s role is procurement infrastructure: the schedules, the government-wide acquisition contracts (GWACs), and the buying channels that let every agency buy without running a new full competition every time. If you want to be</w:t>
      </w:r>
      <w:r>
        <w:rPr>
          <w:i/>
          <w:iCs/>
        </w:rPr>
        <w:t xml:space="preserve"> </w:t>
      </w:r>
      <w:r>
        <w:t xml:space="preserve">findable* to the federal market, GSA is where you get on the shelf.*</w:t>
      </w:r>
    </w:p>
    <w:bookmarkStart w:id="20" w:name="Xc0153368274ca77fb18bf6c77ac358954452957"/>
    <w:p>
      <w:pPr>
        <w:pStyle w:val="Heading2"/>
      </w:pPr>
      <w:r>
        <w:t xml:space="preserve">Culture: the middleman that is not a middleman</w:t>
      </w:r>
    </w:p>
    <w:p>
      <w:pPr>
        <w:pStyle w:val="FirstParagraph"/>
      </w:pPr>
      <w:r>
        <w:t xml:space="preserve">GSA is the federal government’s landlord and shopkeeper. It manages real estate, travel, vehicles, technology — and, most importantly for this course,</w:t>
      </w:r>
      <w:r>
        <w:t xml:space="preserve"> </w:t>
      </w:r>
      <w:r>
        <w:rPr>
          <w:b/>
          <w:bCs/>
        </w:rPr>
        <w:t xml:space="preserve">shared acquisition vehicles</w:t>
      </w:r>
      <w:r>
        <w:t xml:space="preserve">. Its distinctive cultural fact:</w:t>
      </w:r>
    </w:p>
    <w:p>
      <w:pPr>
        <w:pStyle w:val="Compact"/>
        <w:numPr>
          <w:ilvl w:val="0"/>
          <w:numId w:val="1001"/>
        </w:numPr>
      </w:pPr>
      <w:r>
        <w:t xml:space="preserve">GSA is a</w:t>
      </w:r>
      <w:r>
        <w:t xml:space="preserve"> </w:t>
      </w:r>
      <w:r>
        <w:rPr>
          <w:b/>
          <w:bCs/>
        </w:rPr>
        <w:t xml:space="preserve">service to other agencies</w:t>
      </w:r>
      <w:r>
        <w:t xml:space="preserve">, not a mission agency in the defense or science sense. Its</w:t>
      </w:r>
      <w:r>
        <w:t xml:space="preserve"> </w:t>
      </w:r>
      <w:r>
        <w:t xml:space="preserve">“</w:t>
      </w:r>
      <w:r>
        <w:t xml:space="preserve">customer</w:t>
      </w:r>
      <w:r>
        <w:t xml:space="preserve">”</w:t>
      </w:r>
      <w:r>
        <w:t xml:space="preserve"> </w:t>
      </w:r>
      <w:r>
        <w:t xml:space="preserve">is the rest of the government.</w:t>
      </w:r>
    </w:p>
    <w:p>
      <w:pPr>
        <w:pStyle w:val="Compact"/>
        <w:numPr>
          <w:ilvl w:val="0"/>
          <w:numId w:val="1001"/>
        </w:numPr>
      </w:pPr>
      <w:r>
        <w:t xml:space="preserve">GSA’s vehicles exist to make buying</w:t>
      </w:r>
      <w:r>
        <w:t xml:space="preserve"> </w:t>
      </w:r>
      <w:r>
        <w:rPr>
          <w:i/>
          <w:iCs/>
        </w:rPr>
        <w:t xml:space="preserve">faster, cheaper, and compliant</w:t>
      </w:r>
      <w:r>
        <w:t xml:space="preserve">: instead of each agency running a full open competition for every laptop or every IT service, the agency buys off a GSA vehicle that was already competed.</w:t>
      </w:r>
    </w:p>
    <w:p>
      <w:pPr>
        <w:pStyle w:val="Compact"/>
        <w:numPr>
          <w:ilvl w:val="0"/>
          <w:numId w:val="1001"/>
        </w:numPr>
      </w:pPr>
      <w:r>
        <w:t xml:space="preserve">For the seller, GSA is a</w:t>
      </w:r>
      <w:r>
        <w:t xml:space="preserve"> </w:t>
      </w:r>
      <w:r>
        <w:rPr>
          <w:b/>
          <w:bCs/>
        </w:rPr>
        <w:t xml:space="preserve">gateway</w:t>
      </w:r>
      <w:r>
        <w:t xml:space="preserve">: win a place on a GSA vehicle once, and every agency in government can buy from you through it without a new full competition. It is the closest thing the market has to a federal shelf.</w:t>
      </w:r>
    </w:p>
    <w:p>
      <w:pPr>
        <w:pStyle w:val="FirstParagraph"/>
      </w:pPr>
      <w:r>
        <w:t xml:space="preserve">The strategic significance cannot be overstated:</w:t>
      </w:r>
      <w:r>
        <w:t xml:space="preserve"> </w:t>
      </w:r>
      <w:r>
        <w:rPr>
          <w:b/>
          <w:bCs/>
        </w:rPr>
        <w:t xml:space="preserve">for a small or mid-size firm, getting on the right GSA vehicle is frequently the single highest-leverage business-development move available</w:t>
      </w:r>
      <w:r>
        <w:t xml:space="preserve"> </w:t>
      </w:r>
      <w:r>
        <w:t xml:space="preserve">— the difference between chasing every opportunity from zero and being a standing option agencies can already reach.</w:t>
      </w:r>
    </w:p>
    <w:bookmarkEnd w:id="20"/>
    <w:bookmarkStart w:id="21" w:name="the-schedule-mas"/>
    <w:p>
      <w:pPr>
        <w:pStyle w:val="Heading2"/>
      </w:pPr>
      <w:r>
        <w:t xml:space="preserve">The Schedule: MAS</w:t>
      </w:r>
    </w:p>
    <w:p>
      <w:pPr>
        <w:pStyle w:val="FirstParagraph"/>
      </w:pPr>
      <w:r>
        <w:t xml:space="preserve">The flagship GSA instrument is the</w:t>
      </w:r>
      <w:r>
        <w:t xml:space="preserve"> </w:t>
      </w:r>
      <w:r>
        <w:rPr>
          <w:b/>
          <w:bCs/>
        </w:rPr>
        <w:t xml:space="preserve">Schedule</w:t>
      </w:r>
      <w:r>
        <w:t xml:space="preserve"> </w:t>
      </w:r>
      <w:r>
        <w:t xml:space="preserve">— today, the</w:t>
      </w:r>
      <w:r>
        <w:t xml:space="preserve"> </w:t>
      </w:r>
      <w:r>
        <w:rPr>
          <w:b/>
          <w:bCs/>
        </w:rPr>
        <w:t xml:space="preserve">Multiple Award Schedule (MAS)</w:t>
      </w:r>
      <w:r>
        <w:t xml:space="preserve">, the modern consolidated form of the old</w:t>
      </w:r>
      <w:r>
        <w:t xml:space="preserve"> </w:t>
      </w:r>
      <w:r>
        <w:t xml:space="preserve">“</w:t>
      </w:r>
      <w:r>
        <w:t xml:space="preserve">GSA Schedules.</w:t>
      </w:r>
      <w:r>
        <w:t xml:space="preserve">”</w:t>
      </w:r>
      <w:r>
        <w:t xml:space="preserve"> </w:t>
      </w:r>
      <w:r>
        <w:t xml:space="preserve">(The consolidation folded dozens of legacy schedules into one MAS with large categories — another instance of the profile’s standing rule:</w:t>
      </w:r>
      <w:r>
        <w:t xml:space="preserve"> </w:t>
      </w:r>
      <w:r>
        <w:rPr>
          <w:i/>
          <w:iCs/>
        </w:rPr>
        <w:t xml:space="preserve">tools change, the function endures</w:t>
      </w:r>
      <w:r>
        <w:t xml:space="preserve">.)</w:t>
      </w:r>
    </w:p>
    <w:p>
      <w:pPr>
        <w:pStyle w:val="BodyText"/>
      </w:pPr>
      <w:r>
        <w:t xml:space="preserve">How it works:</w:t>
      </w:r>
    </w:p>
    <w:p>
      <w:pPr>
        <w:pStyle w:val="Compact"/>
        <w:numPr>
          <w:ilvl w:val="0"/>
          <w:numId w:val="1002"/>
        </w:numPr>
      </w:pPr>
      <w:r>
        <w:t xml:space="preserve">GSA competes and awards</w:t>
      </w:r>
      <w:r>
        <w:t xml:space="preserve"> </w:t>
      </w:r>
      <w:r>
        <w:rPr>
          <w:b/>
          <w:bCs/>
        </w:rPr>
        <w:t xml:space="preserve">MAS contracts</w:t>
      </w:r>
      <w:r>
        <w:t xml:space="preserve"> </w:t>
      </w:r>
      <w:r>
        <w:t xml:space="preserve">to many suppliers in a category — typically dozens or hundreds — each with its own catalog of offered items or services, terms, and prices.</w:t>
      </w:r>
    </w:p>
    <w:p>
      <w:pPr>
        <w:pStyle w:val="Compact"/>
        <w:numPr>
          <w:ilvl w:val="0"/>
          <w:numId w:val="1002"/>
        </w:numPr>
      </w:pPr>
      <w:r>
        <w:t xml:space="preserve">An agency can then place an</w:t>
      </w:r>
      <w:r>
        <w:t xml:space="preserve"> </w:t>
      </w:r>
      <w:r>
        <w:rPr>
          <w:b/>
          <w:bCs/>
        </w:rPr>
        <w:t xml:space="preserve">order against a MAS contract</w:t>
      </w:r>
      <w:r>
        <w:t xml:space="preserve"> </w:t>
      </w:r>
      <w:r>
        <w:t xml:space="preserve">under streamlined rules (FAR Part 8), without a new full competition. For larger or more complex orders, the agency may run a</w:t>
      </w:r>
      <w:r>
        <w:t xml:space="preserve"> </w:t>
      </w:r>
      <w:r>
        <w:rPr>
          <w:b/>
          <w:bCs/>
        </w:rPr>
        <w:t xml:space="preserve">small competition among MAS holders</w:t>
      </w:r>
      <w:r>
        <w:t xml:space="preserve"> </w:t>
      </w:r>
      <w:r>
        <w:t xml:space="preserve">(through GSA eBuy).</w:t>
      </w:r>
    </w:p>
    <w:p>
      <w:pPr>
        <w:pStyle w:val="Compact"/>
        <w:numPr>
          <w:ilvl w:val="0"/>
          <w:numId w:val="1002"/>
        </w:numPr>
      </w:pPr>
      <w:r>
        <w:t xml:space="preserve">The MAS catalog is published in</w:t>
      </w:r>
      <w:r>
        <w:t xml:space="preserve"> </w:t>
      </w:r>
      <w:r>
        <w:rPr>
          <w:b/>
          <w:bCs/>
        </w:rPr>
        <w:t xml:space="preserve">GSA eLibrary</w:t>
      </w:r>
      <w:r>
        <w:t xml:space="preserve">, the searchable catalog of schedules and contractors — the shelf, made visible.</w:t>
      </w:r>
    </w:p>
    <w:p>
      <w:pPr>
        <w:pStyle w:val="FirstParagraph"/>
      </w:pPr>
      <w:r>
        <w:t xml:space="preserve">Being</w:t>
      </w:r>
      <w:r>
        <w:t xml:space="preserve"> </w:t>
      </w:r>
      <w:r>
        <w:t xml:space="preserve">“</w:t>
      </w:r>
      <w:r>
        <w:t xml:space="preserve">on the schedule</w:t>
      </w:r>
      <w:r>
        <w:t xml:space="preserve">”</w:t>
      </w:r>
      <w:r>
        <w:t xml:space="preserve"> </w:t>
      </w:r>
      <w:r>
        <w:t xml:space="preserve">does not guarantee orders — it guarantees</w:t>
      </w:r>
      <w:r>
        <w:t xml:space="preserve"> </w:t>
      </w:r>
      <w:r>
        <w:rPr>
          <w:i/>
          <w:iCs/>
        </w:rPr>
        <w:t xml:space="preserve">findability and eligibility</w:t>
      </w:r>
      <w:r>
        <w:t xml:space="preserve">. The orders still have to be won.</w:t>
      </w:r>
    </w:p>
    <w:bookmarkEnd w:id="21"/>
    <w:bookmarkStart w:id="23" w:name="X52e6d4f1a14e0ae83221897eb4f3f1aa809522d"/>
    <w:p>
      <w:pPr>
        <w:pStyle w:val="Heading2"/>
      </w:pPr>
      <w:r>
        <w:t xml:space="preserve">The GWAC posture: OASIS, Alliant, Polaris, and the consolidation</w:t>
      </w:r>
    </w:p>
    <w:p>
      <w:pPr>
        <w:pStyle w:val="FirstParagraph"/>
      </w:pPr>
      <w:r>
        <w:t xml:space="preserve">Alongside the schedules, GSA runs the</w:t>
      </w:r>
      <w:r>
        <w:t xml:space="preserve"> </w:t>
      </w:r>
      <w:r>
        <w:rPr>
          <w:b/>
          <w:bCs/>
        </w:rPr>
        <w:t xml:space="preserve">government-wide acquisition contracts (GWACs)</w:t>
      </w:r>
      <w:r>
        <w:t xml:space="preserve"> </w:t>
      </w:r>
      <w:r>
        <w:t xml:space="preserve">— large multiple-award vehicles for whole categories of work. The names churn (that is the standing caution), but the shapes are durable: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OASIS / OASIS+</w:t>
      </w:r>
      <w:r>
        <w:t xml:space="preserve"> </w:t>
      </w:r>
      <w:r>
        <w:t xml:space="preserve">— the flagship</w:t>
      </w:r>
      <w:r>
        <w:t xml:space="preserve"> </w:t>
      </w:r>
      <w:r>
        <w:rPr>
          <w:b/>
          <w:bCs/>
        </w:rPr>
        <w:t xml:space="preserve">professional services</w:t>
      </w:r>
      <w:r>
        <w:t xml:space="preserve"> </w:t>
      </w:r>
      <w:r>
        <w:t xml:space="preserve">GWAC (management, technical, logistics, and more), organized in functional categories and pools, including small-business and socioeconomic set-aside pools. Legacy OASIS has been giving way to</w:t>
      </w:r>
      <w:r>
        <w:t xml:space="preserve"> </w:t>
      </w:r>
      <w:r>
        <w:rPr>
          <w:b/>
          <w:bCs/>
        </w:rPr>
        <w:t xml:space="preserve">OASIS+</w:t>
      </w:r>
      <w:r>
        <w:t xml:space="preserve"> </w:t>
      </w:r>
      <w:r>
        <w:t xml:space="preserve">with rolling awards and on-ramps.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Alliant</w:t>
      </w:r>
      <w:r>
        <w:t xml:space="preserve"> </w:t>
      </w:r>
      <w:r>
        <w:t xml:space="preserve">— the unrestricted</w:t>
      </w:r>
      <w:r>
        <w:t xml:space="preserve"> </w:t>
      </w:r>
      <w:r>
        <w:rPr>
          <w:b/>
          <w:bCs/>
        </w:rPr>
        <w:t xml:space="preserve">IT services</w:t>
      </w:r>
      <w:r>
        <w:t xml:space="preserve"> </w:t>
      </w:r>
      <w:r>
        <w:t xml:space="preserve">GWAC (the current iteration is Alliant 3).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Polaris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small-business IT services</w:t>
      </w:r>
      <w:r>
        <w:t xml:space="preserve"> </w:t>
      </w:r>
      <w:r>
        <w:t xml:space="preserve">GWAC, the small-business counterpart to Alliant.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STARS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VETS</w:t>
      </w:r>
      <w:r>
        <w:t xml:space="preserve"> </w:t>
      </w:r>
      <w:r>
        <w:t xml:space="preserve">— the 8(a) and SDVOSB-specific IT GWACs.</w:t>
      </w:r>
    </w:p>
    <w:p>
      <w:pPr>
        <w:pStyle w:val="FirstParagraph"/>
      </w:pPr>
      <w:r>
        <w:t xml:space="preserve">The strategic lesson is the same as the</w:t>
      </w:r>
      <w:r>
        <w:t xml:space="preserve"> </w:t>
      </w:r>
      <w:hyperlink r:id="rId22">
        <w:r>
          <w:rPr>
            <w:rStyle w:val="Hyperlink"/>
          </w:rPr>
          <w:t xml:space="preserve">DoD profile</w:t>
        </w:r>
      </w:hyperlink>
      <w:r>
        <w:t xml:space="preserve">’s vehicle lesson, from the GSA side:</w:t>
      </w:r>
      <w:r>
        <w:t xml:space="preserve"> </w:t>
      </w:r>
      <w:r>
        <w:rPr>
          <w:b/>
          <w:bCs/>
        </w:rPr>
        <w:t xml:space="preserve">which GWAC you are on determines which task-order competitions can reach you.</w:t>
      </w:r>
      <w:r>
        <w:t xml:space="preserve"> </w:t>
      </w:r>
      <w:r>
        <w:t xml:space="preserve">A small IT firm’s path is often Polaris, STARS, or the set-aside pools of OASIS+; a services firm’s path is the OASIS+ small-business pool. The consolidation current in federal buying (agencies being steered toward GSA vehicles) makes the GWAC decision</w:t>
      </w:r>
      <w:r>
        <w:t xml:space="preserve"> </w:t>
      </w:r>
      <w:r>
        <w:rPr>
          <w:i/>
          <w:iCs/>
        </w:rPr>
        <w:t xml:space="preserve">more</w:t>
      </w:r>
      <w:r>
        <w:t xml:space="preserve"> </w:t>
      </w:r>
      <w:r>
        <w:t xml:space="preserve">consequential, not less.</w:t>
      </w:r>
    </w:p>
    <w:bookmarkEnd w:id="23"/>
    <w:bookmarkStart w:id="24" w:name="buying-channels"/>
    <w:p>
      <w:pPr>
        <w:pStyle w:val="Heading2"/>
      </w:pPr>
      <w:r>
        <w:t xml:space="preserve">Buying channels</w:t>
      </w:r>
    </w:p>
    <w:p>
      <w:pPr>
        <w:pStyle w:val="FirstParagraph"/>
      </w:pPr>
      <w:r>
        <w:t xml:space="preserve">When an agency actually buys, it uses GSA’s channels: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GSA eLibrary</w:t>
      </w:r>
      <w:r>
        <w:t xml:space="preserve"> </w:t>
      </w:r>
      <w:r>
        <w:t xml:space="preserve">— the catalog: search it to see who is on a schedule and what they offer.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GSA Advantage</w:t>
      </w:r>
      <w:r>
        <w:t xml:space="preserve"> </w:t>
      </w:r>
      <w:r>
        <w:t xml:space="preserve">— the online ordering portal for schedule purchases, the government’s e-commerce front end for commodity-like items.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GSA eBuy</w:t>
      </w:r>
      <w:r>
        <w:t xml:space="preserve"> </w:t>
      </w:r>
      <w:r>
        <w:t xml:space="preserve">— the portal where agencies post requests for quotes among schedule holders; this is where a schedule holder actually</w:t>
      </w:r>
      <w:r>
        <w:t xml:space="preserve"> </w:t>
      </w:r>
      <w:r>
        <w:rPr>
          <w:i/>
          <w:iCs/>
        </w:rPr>
        <w:t xml:space="preserve">sees</w:t>
      </w:r>
      <w:r>
        <w:t xml:space="preserve"> </w:t>
      </w:r>
      <w:r>
        <w:t xml:space="preserve">the competitions it can win.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GSA schedules and GWACs in use</w:t>
      </w:r>
      <w:r>
        <w:t xml:space="preserve"> </w:t>
      </w:r>
      <w:r>
        <w:t xml:space="preserve">— agencies also use GSA’s other service offerings (travel, fleet, real estate), but for this course the acquisition-facing channels are the ones above.</w:t>
      </w:r>
    </w:p>
    <w:p>
      <w:pPr>
        <w:pStyle w:val="FirstParagraph"/>
      </w:pPr>
      <w:r>
        <w:t xml:space="preserve">The pursuer’s habit:</w:t>
      </w:r>
      <w:r>
        <w:t xml:space="preserve"> </w:t>
      </w:r>
      <w:r>
        <w:rPr>
          <w:b/>
          <w:bCs/>
        </w:rPr>
        <w:t xml:space="preserve">monitor eBuy and the GWAC task-order feeds</w:t>
      </w:r>
      <w:r>
        <w:t xml:space="preserve"> </w:t>
      </w:r>
      <w:r>
        <w:t xml:space="preserve">the way a commercial firm monitors its sales pipeline. That is where the orders live.</w:t>
      </w:r>
    </w:p>
    <w:bookmarkEnd w:id="24"/>
    <w:bookmarkStart w:id="27" w:name="the-lpta-vs.-best-value-split"/>
    <w:p>
      <w:pPr>
        <w:pStyle w:val="Heading2"/>
      </w:pPr>
      <w:r>
        <w:t xml:space="preserve">The LPTA vs. best-value split</w:t>
      </w:r>
    </w:p>
    <w:p>
      <w:pPr>
        <w:pStyle w:val="FirstParagraph"/>
      </w:pPr>
      <w:r>
        <w:t xml:space="preserve">GSA buying spans the full evaluation spectrum, and the split is a useful lens on the market: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Commodity-like purchases</w:t>
      </w:r>
      <w:r>
        <w:t xml:space="preserve"> </w:t>
      </w:r>
      <w:r>
        <w:t xml:space="preserve">(standard items, well-defined) tend toward</w:t>
      </w:r>
      <w:r>
        <w:t xml:space="preserve"> </w:t>
      </w:r>
      <w:r>
        <w:rPr>
          <w:b/>
          <w:bCs/>
        </w:rPr>
        <w:t xml:space="preserve">Lowest Price Technically Acceptable (LPTA)</w:t>
      </w:r>
      <w:r>
        <w:t xml:space="preserve">: once you clear the technical bar, price decides. This is the GSA Advantage world — price is the differentiator.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Services and complex work</w:t>
      </w:r>
      <w:r>
        <w:t xml:space="preserve"> </w:t>
      </w:r>
      <w:r>
        <w:t xml:space="preserve">tend toward</w:t>
      </w:r>
      <w:r>
        <w:t xml:space="preserve"> </w:t>
      </w:r>
      <w:r>
        <w:rPr>
          <w:b/>
          <w:bCs/>
        </w:rPr>
        <w:t xml:space="preserve">best-value tradeoff</w:t>
      </w:r>
      <w:r>
        <w:t xml:space="preserve">: technical approach, past performance, and price compete, and a higher-priced offer can win on merit. This is the OASIS+ and task-order world — the win themes and discriminators from</w:t>
      </w:r>
      <w:r>
        <w:t xml:space="preserve"> </w:t>
      </w:r>
      <w:hyperlink r:id="rId25">
        <w:r>
          <w:rPr>
            <w:rStyle w:val="Hyperlink"/>
          </w:rPr>
          <w:t xml:space="preserve">doctrine/09</w:t>
        </w:r>
      </w:hyperlink>
      <w:r>
        <w:t xml:space="preserve"> </w:t>
      </w:r>
      <w:r>
        <w:t xml:space="preserve">decide.</w:t>
      </w:r>
    </w:p>
    <w:p>
      <w:pPr>
        <w:pStyle w:val="FirstParagraph"/>
      </w:pPr>
      <w:r>
        <w:t xml:space="preserve">The lesson from</w:t>
      </w:r>
      <w:r>
        <w:t xml:space="preserve"> </w:t>
      </w:r>
      <w:hyperlink r:id="rId26">
        <w:r>
          <w:rPr>
            <w:rStyle w:val="Hyperlink"/>
          </w:rPr>
          <w:t xml:space="preserve">doctrine/05</w:t>
        </w:r>
      </w:hyperlink>
      <w:r>
        <w:t xml:space="preserve"> </w:t>
      </w:r>
      <w:r>
        <w:t xml:space="preserve">applies with force:</w:t>
      </w:r>
      <w:r>
        <w:t xml:space="preserve"> </w:t>
      </w:r>
      <w:r>
        <w:rPr>
          <w:b/>
          <w:bCs/>
        </w:rPr>
        <w:t xml:space="preserve">know which game you are in before you price.</w:t>
      </w:r>
      <w:r>
        <w:t xml:space="preserve"> </w:t>
      </w:r>
      <w:r>
        <w:t xml:space="preserve">On a MAS order for a defined commodity, price-to-win is a race; on a best-value task order, it is a position.</w:t>
      </w:r>
    </w:p>
    <w:bookmarkEnd w:id="27"/>
    <w:bookmarkStart w:id="28" w:name="evaluation-emphasis-and-past-performance"/>
    <w:p>
      <w:pPr>
        <w:pStyle w:val="Heading2"/>
      </w:pPr>
      <w:r>
        <w:t xml:space="preserve">Evaluation emphasis and past performance</w:t>
      </w:r>
    </w:p>
    <w:p>
      <w:pPr>
        <w:pStyle w:val="FirstParagraph"/>
      </w:pPr>
      <w:r>
        <w:t xml:space="preserve">At the</w:t>
      </w:r>
      <w:r>
        <w:t xml:space="preserve"> </w:t>
      </w:r>
      <w:r>
        <w:rPr>
          <w:i/>
          <w:iCs/>
        </w:rPr>
        <w:t xml:space="preserve">schedule-award</w:t>
      </w:r>
      <w:r>
        <w:t xml:space="preserve"> </w:t>
      </w:r>
      <w:r>
        <w:t xml:space="preserve">level, GSA’s evaluation is about terms, conditions, and fair-and-reasonable pricing against the catalog. At the</w:t>
      </w:r>
      <w:r>
        <w:t xml:space="preserve"> </w:t>
      </w:r>
      <w:r>
        <w:rPr>
          <w:i/>
          <w:iCs/>
        </w:rPr>
        <w:t xml:space="preserve">order</w:t>
      </w:r>
      <w:r>
        <w:t xml:space="preserve"> </w:t>
      </w:r>
      <w:r>
        <w:t xml:space="preserve">level, the evaluation is set by the ordering agency — which is why your GSA vehicle is a doorway, not a win. Past performance is checked the standard federal way (CPARS/FAPIIS; see the</w:t>
      </w:r>
      <w:r>
        <w:t xml:space="preserve"> </w:t>
      </w:r>
      <w:hyperlink r:id="rId22">
        <w:r>
          <w:rPr>
            <w:rStyle w:val="Hyperlink"/>
          </w:rPr>
          <w:t xml:space="preserve">DoD profile</w:t>
        </w:r>
      </w:hyperlink>
      <w:r>
        <w:t xml:space="preserve">), and a clean record matters because agencies do not want to place orders against a contractor whose federal record is a risk. GSA itself also runs a supplier-performance and integrity screening at award time.</w:t>
      </w:r>
    </w:p>
    <w:bookmarkEnd w:id="28"/>
    <w:bookmarkStart w:id="30" w:name="set-aside-landscape"/>
    <w:p>
      <w:pPr>
        <w:pStyle w:val="Heading2"/>
      </w:pPr>
      <w:r>
        <w:t xml:space="preserve">Set-aside landscape</w:t>
      </w:r>
    </w:p>
    <w:p>
      <w:pPr>
        <w:pStyle w:val="FirstParagraph"/>
      </w:pPr>
      <w:r>
        <w:t xml:space="preserve">GSA vehicles are one of the main ways the small-business programs reach the market:</w:t>
      </w:r>
    </w:p>
    <w:p>
      <w:pPr>
        <w:pStyle w:val="Compact"/>
        <w:numPr>
          <w:ilvl w:val="0"/>
          <w:numId w:val="1006"/>
        </w:numPr>
      </w:pPr>
      <w:r>
        <w:t xml:space="preserve">The schedules carry</w:t>
      </w:r>
      <w:r>
        <w:t xml:space="preserve"> </w:t>
      </w:r>
      <w:r>
        <w:rPr>
          <w:b/>
          <w:bCs/>
        </w:rPr>
        <w:t xml:space="preserve">set-aside order options</w:t>
      </w:r>
      <w:r>
        <w:t xml:space="preserve"> </w:t>
      </w:r>
      <w:r>
        <w:t xml:space="preserve">— an agency can set aside an order for small business, 8(a), HUBZone, SDVOSB, or WOSB, choosing only from the schedule holders in that pool.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GWACs are organized in pools</w:t>
      </w:r>
      <w:r>
        <w:t xml:space="preserve"> </w:t>
      </w:r>
      <w:r>
        <w:t xml:space="preserve">— unrestricted, total small business, and the socioeconomic set-asides — so the vehicle</w:t>
      </w:r>
      <w:r>
        <w:t xml:space="preserve"> </w:t>
      </w:r>
      <w:r>
        <w:rPr>
          <w:i/>
          <w:iCs/>
        </w:rPr>
        <w:t xml:space="preserve">itself</w:t>
      </w:r>
      <w:r>
        <w:t xml:space="preserve"> </w:t>
      </w:r>
      <w:r>
        <w:t xml:space="preserve">is often the small-business door.</w:t>
      </w:r>
    </w:p>
    <w:p>
      <w:pPr>
        <w:pStyle w:val="Compact"/>
        <w:numPr>
          <w:ilvl w:val="0"/>
          <w:numId w:val="1006"/>
        </w:numPr>
      </w:pPr>
      <w:r>
        <w:t xml:space="preserve">The SBA small-business goals (the government-wide 23 percent) are satisfied substantially</w:t>
      </w:r>
      <w:r>
        <w:t xml:space="preserve"> </w:t>
      </w:r>
      <w:r>
        <w:rPr>
          <w:i/>
          <w:iCs/>
        </w:rPr>
        <w:t xml:space="preserve">through</w:t>
      </w:r>
      <w:r>
        <w:t xml:space="preserve"> </w:t>
      </w:r>
      <w:r>
        <w:t xml:space="preserve">GSA vehicles.</w:t>
      </w:r>
    </w:p>
    <w:p>
      <w:pPr>
        <w:pStyle w:val="FirstParagraph"/>
      </w:pPr>
      <w:r>
        <w:t xml:space="preserve">The practical consequence:</w:t>
      </w:r>
      <w:r>
        <w:t xml:space="preserve"> </w:t>
      </w:r>
      <w:r>
        <w:rPr>
          <w:b/>
          <w:bCs/>
        </w:rPr>
        <w:t xml:space="preserve">your certifications (8(a), HUBZone, SDVOSB, WOSB) and your vehicle choices multiply.</w:t>
      </w:r>
      <w:r>
        <w:t xml:space="preserve"> </w:t>
      </w:r>
      <w:r>
        <w:t xml:space="preserve">A HUBZone firm on the right schedule with a HUBZone set-aside order in front of it is competing against a small pool of peers — the friendlier pool from</w:t>
      </w:r>
      <w:r>
        <w:t xml:space="preserve"> </w:t>
      </w:r>
      <w:hyperlink r:id="rId29">
        <w:r>
          <w:rPr>
            <w:rStyle w:val="Hyperlink"/>
          </w:rPr>
          <w:t xml:space="preserve">doctrine/01</w:t>
        </w:r>
      </w:hyperlink>
      <w:r>
        <w:t xml:space="preserve">.</w:t>
      </w:r>
    </w:p>
    <w:bookmarkEnd w:id="30"/>
    <w:bookmarkStart w:id="37" w:name="learning-pointers"/>
    <w:p>
      <w:pPr>
        <w:pStyle w:val="Heading2"/>
      </w:pPr>
      <w:r>
        <w:t xml:space="preserve">Learning pointers</w:t>
      </w:r>
    </w:p>
    <w:p>
      <w:pPr>
        <w:pStyle w:val="BlockText"/>
      </w:pPr>
      <w:r>
        <w:rPr>
          <w:b/>
          <w:bCs/>
        </w:rPr>
        <w:t xml:space="preserve">Learning pointers.</w:t>
      </w:r>
      <w:r>
        <w:t xml:space="preserve"> </w:t>
      </w:r>
      <w:r>
        <w:t xml:space="preserve">The GSA profile is the course’s study of shared procurement infrastructure — the</w:t>
      </w:r>
      <w:r>
        <w:t xml:space="preserve"> </w:t>
      </w:r>
      <w:r>
        <w:t xml:space="preserve">“</w:t>
      </w:r>
      <w:r>
        <w:t xml:space="preserve">shelf</w:t>
      </w:r>
      <w:r>
        <w:t xml:space="preserve">”</w:t>
      </w:r>
      <w:r>
        <w:t xml:space="preserve"> </w:t>
      </w:r>
      <w:r>
        <w:t xml:space="preserve">the whole market shops at.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Doctrine</w:t>
      </w:r>
      <w:r>
        <w:t xml:space="preserve"> </w:t>
      </w:r>
      <w:r>
        <w:t xml:space="preserve">—</w:t>
      </w:r>
      <w:r>
        <w:t xml:space="preserve"> </w:t>
      </w:r>
      <w:hyperlink r:id="rId29">
        <w:r>
          <w:rPr>
            <w:rStyle w:val="Hyperlink"/>
          </w:rPr>
          <w:t xml:space="preserve">doctrine/01</w:t>
        </w:r>
      </w:hyperlink>
      <w:r>
        <w:t xml:space="preserve"> </w:t>
      </w:r>
      <w:r>
        <w:t xml:space="preserve">(the set-aside detour made visible through GSA pools),</w:t>
      </w:r>
      <w:r>
        <w:t xml:space="preserve"> </w:t>
      </w:r>
      <w:hyperlink r:id="rId31">
        <w:r>
          <w:rPr>
            <w:rStyle w:val="Hyperlink"/>
          </w:rPr>
          <w:t xml:space="preserve">doctrine/02</w:t>
        </w:r>
      </w:hyperlink>
      <w:r>
        <w:t xml:space="preserve"> </w:t>
      </w:r>
      <w:r>
        <w:t xml:space="preserve">(task orders and standing competitions),</w:t>
      </w:r>
      <w:r>
        <w:t xml:space="preserve"> </w:t>
      </w:r>
      <w:hyperlink r:id="rId26">
        <w:r>
          <w:rPr>
            <w:rStyle w:val="Hyperlink"/>
          </w:rPr>
          <w:t xml:space="preserve">doctrine/05</w:t>
        </w:r>
      </w:hyperlink>
      <w:r>
        <w:t xml:space="preserve"> </w:t>
      </w:r>
      <w:r>
        <w:t xml:space="preserve">(LPTA vs. best value).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Literacy</w:t>
      </w:r>
      <w:r>
        <w:t xml:space="preserve"> </w:t>
      </w:r>
      <w:r>
        <w:t xml:space="preserve">—</w:t>
      </w:r>
      <w:r>
        <w:t xml:space="preserve"> </w:t>
      </w:r>
      <w:hyperlink r:id="rId32">
        <w:r>
          <w:rPr>
            <w:rStyle w:val="Hyperlink"/>
          </w:rPr>
          <w:t xml:space="preserve">industry-standard-canon</w:t>
        </w:r>
      </w:hyperlink>
      <w:r>
        <w:t xml:space="preserve"> </w:t>
      </w:r>
      <w:r>
        <w:t xml:space="preserve">(the canon’s vocabulary),</w:t>
      </w:r>
      <w:r>
        <w:t xml:space="preserve"> </w:t>
      </w:r>
      <w:hyperlink r:id="rId33">
        <w:r>
          <w:rPr>
            <w:rStyle w:val="Hyperlink"/>
          </w:rPr>
          <w:t xml:space="preserve">acronym-decoder</w:t>
        </w:r>
      </w:hyperlink>
      <w:r>
        <w:t xml:space="preserve"> </w:t>
      </w:r>
      <w:r>
        <w:t xml:space="preserve">(GSA, MAS, IDIQ, LPTA),</w:t>
      </w:r>
      <w:r>
        <w:t xml:space="preserve"> </w:t>
      </w:r>
      <w:hyperlink r:id="rId34">
        <w:r>
          <w:rPr>
            <w:rStyle w:val="Hyperlink"/>
          </w:rPr>
          <w:t xml:space="preserve">further-reading</w:t>
        </w:r>
      </w:hyperlink>
      <w:r>
        <w:t xml:space="preserve"> </w:t>
      </w:r>
      <w:r>
        <w:t xml:space="preserve">(GSA eLibrary).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Case study</w:t>
      </w:r>
      <w:r>
        <w:t xml:space="preserve"> </w:t>
      </w:r>
      <w:r>
        <w:t xml:space="preserve">— Ravonics’ services NAICS codes (541512, 541330) are GSA-schedule natural fits; its HUBZone status opens set-aside order pools.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Course</w:t>
      </w:r>
      <w:r>
        <w:t xml:space="preserve"> </w:t>
      </w:r>
      <w:r>
        <w:t xml:space="preserve">— the pricing course (</w:t>
      </w:r>
      <w:hyperlink r:id="rId35">
        <w:r>
          <w:rPr>
            <w:rStyle w:val="Hyperlink"/>
          </w:rPr>
          <w:t xml:space="preserve">undergraduate-220-pricing-and-price-to-win-fundamentals</w:t>
        </w:r>
      </w:hyperlink>
      <w:r>
        <w:t xml:space="preserve">) and the contracts course (</w:t>
      </w:r>
      <w:hyperlink r:id="rId36">
        <w:r>
          <w:rPr>
            <w:rStyle w:val="Hyperlink"/>
          </w:rPr>
          <w:t xml:space="preserve">undergraduate-303-government-contracts-and-subcontracting</w:t>
        </w:r>
      </w:hyperlink>
      <w:r>
        <w:t xml:space="preserve">) both exercise the schedule/GWAC decision.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Verify</w:t>
      </w:r>
      <w:r>
        <w:t xml:space="preserve"> </w:t>
      </w:r>
      <w:r>
        <w:t xml:space="preserve">— MAS category structure, GWAC names and award status (OASIS+, Polaris, Alliant 3), and the consolidation current change over time; confirm the current vehicle list on GSA’s acquisition pages before committing.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26" Type="http://schemas.openxmlformats.org/officeDocument/2006/relationships/hyperlink" Target="../../doctrine/05-scoring-and-price-to-win.md" TargetMode="External"/><Relationship Id="rId39" Type="http://schemas.openxmlformats.org/officeDocument/2006/relationships/customXml" Target="../customXml/item3.xml"/><Relationship Id="rId3" Type="http://schemas.openxmlformats.org/officeDocument/2006/relationships/settings" Target="settings.xml"/><Relationship Id="rId34" Type="http://schemas.openxmlformats.org/officeDocument/2006/relationships/hyperlink" Target="../further-reading.md" TargetMode="External"/><Relationship Id="rId7" Type="http://schemas.openxmlformats.org/officeDocument/2006/relationships/footnotes" Target="footnotes.xml"/><Relationship Id="rId25" Type="http://schemas.openxmlformats.org/officeDocument/2006/relationships/hyperlink" Target="../../doctrine/09-capture-and-competitive-strategy.md" TargetMode="External"/><Relationship Id="rId33" Type="http://schemas.openxmlformats.org/officeDocument/2006/relationships/hyperlink" Target="../acronym-decoder.md" TargetMode="Externa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29" Type="http://schemas.openxmlformats.org/officeDocument/2006/relationships/hyperlink" Target="../../doctrine/01-where-the-money-lives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2" Type="http://schemas.openxmlformats.org/officeDocument/2006/relationships/hyperlink" Target="../industry-standard-canon.md" TargetMode="External"/><Relationship Id="rId37" Type="http://schemas.openxmlformats.org/officeDocument/2006/relationships/customXml" Target="../customXml/item1.xml"/><Relationship Id="rId5" Type="http://schemas.openxmlformats.org/officeDocument/2006/relationships/fontTable" Target="fontTable.xml"/><Relationship Id="rId36" Type="http://schemas.openxmlformats.org/officeDocument/2006/relationships/hyperlink" Target="../../course/undergraduate-303-government-contracts-and-subcontracting.md" TargetMode="External"/><Relationship Id="rId31" Type="http://schemas.openxmlformats.org/officeDocument/2006/relationships/hyperlink" Target="../../doctrine/02-rfps-and-solicitations.md" TargetMode="External"/><Relationship Id="rId4" Type="http://schemas.openxmlformats.org/officeDocument/2006/relationships/webSettings" Target="webSettings.xml"/><Relationship Id="rId35" Type="http://schemas.openxmlformats.org/officeDocument/2006/relationships/hyperlink" Target="../../course/undergraduate-220-pricing-and-price-to-win-fundamentals.md" TargetMode="External"/><Relationship Id="rId22" Type="http://schemas.openxmlformats.org/officeDocument/2006/relationships/hyperlink" Target="dod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../../course/undergraduate-220-pricing-and-price-to-win-fundamentals.md" TargetMode="External" /><Relationship Type="http://schemas.openxmlformats.org/officeDocument/2006/relationships/hyperlink" Id="rId36" Target="../../course/undergraduate-303-government-contracts-and-subcontracting.md" TargetMode="External" /><Relationship Type="http://schemas.openxmlformats.org/officeDocument/2006/relationships/hyperlink" Id="rId29" Target="../../doctrine/01-where-the-money-lives.md" TargetMode="External" /><Relationship Type="http://schemas.openxmlformats.org/officeDocument/2006/relationships/hyperlink" Id="rId31" Target="../../doctrine/02-rfps-and-solicitations.md" TargetMode="External" /><Relationship Type="http://schemas.openxmlformats.org/officeDocument/2006/relationships/hyperlink" Id="rId26" Target="../../doctrine/05-scoring-and-price-to-win.md" TargetMode="External" /><Relationship Type="http://schemas.openxmlformats.org/officeDocument/2006/relationships/hyperlink" Id="rId25" Target="../../doctrine/09-capture-and-competitive-strategy.md" TargetMode="External" /><Relationship Type="http://schemas.openxmlformats.org/officeDocument/2006/relationships/hyperlink" Id="rId33" Target="../acronym-decoder.md" TargetMode="External" /><Relationship Type="http://schemas.openxmlformats.org/officeDocument/2006/relationships/hyperlink" Id="rId34" Target="../further-reading.md" TargetMode="External" /><Relationship Type="http://schemas.openxmlformats.org/officeDocument/2006/relationships/hyperlink" Id="rId32" Target="../industry-standard-canon.md" TargetMode="External" /><Relationship Type="http://schemas.openxmlformats.org/officeDocument/2006/relationships/hyperlink" Id="rId22" Target="dod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EEA6B184-D107-4324-9C71-68B7EDBDC0A0}"/>
</file>

<file path=customXml/itemProps2.xml><?xml version="1.0" encoding="utf-8"?>
<ds:datastoreItem xmlns:ds="http://schemas.openxmlformats.org/officeDocument/2006/customXml" ds:itemID="{F93290E4-A93B-4CF7-B063-507C874C6A8A}"/>
</file>

<file path=customXml/itemProps3.xml><?xml version="1.0" encoding="utf-8"?>
<ds:datastoreItem xmlns:ds="http://schemas.openxmlformats.org/officeDocument/2006/customXml" ds:itemID="{A4A48B78-7529-40AF-900F-14C3049C2DB7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2026-08-05T17:24:55Z</dcterms:created>
  <dcterms:modified xsi:type="dcterms:W3CDTF">2026-08-05T17:24:55Z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