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026b9eab6f0b3d44bd32aee47c765b1b8922687"/>
    <w:p>
      <w:pPr>
        <w:pStyle w:val="Heading1"/>
      </w:pPr>
      <w:r>
        <w:t xml:space="preserve">Literacy — Agencies: The Department of Energy</w:t>
      </w:r>
    </w:p>
    <w:p>
      <w:pPr>
        <w:pStyle w:val="FirstParagraph"/>
      </w:pPr>
      <w:r>
        <w:rPr>
          <w:i/>
          <w:iCs/>
        </w:rPr>
        <w:t xml:space="preserve">The energy, science, and nuclear-security department — a hybrid that both funds research like a science agency and buys operations like an industrial giant. It is the agency behind the curriculum’s worked exemplar (a DOE STTR Phase I NOFO), which makes it the best first agency to study in detail. This profile maps the DOE’s national-laboratory posture, its merit-review scoring, and its strong SBIR/STTR lane.</w:t>
      </w:r>
    </w:p>
    <w:bookmarkStart w:id="20" w:name="culture-science-and-mission-side-by-side"/>
    <w:p>
      <w:pPr>
        <w:pStyle w:val="Heading2"/>
      </w:pPr>
      <w:r>
        <w:t xml:space="preserve">Culture: science and mission, side by side</w:t>
      </w:r>
    </w:p>
    <w:p>
      <w:pPr>
        <w:pStyle w:val="FirstParagraph"/>
      </w:pPr>
      <w:r>
        <w:t xml:space="preserve">The DOE is really three departments in one, and the mission mix explains its buying: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Energy</w:t>
      </w:r>
      <w:r>
        <w:t xml:space="preserve"> </w:t>
      </w:r>
      <w:r>
        <w:t xml:space="preserve">— the applied-energy offices: efficiency and renewable energy, grid modernization, fossil and nuclear energy, the power-marketing administrations that sell federal hydropower, and ARPA-E, the advanced-research projects agency for energy modeled on DARPA.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Science</w:t>
      </w:r>
      <w:r>
        <w:t xml:space="preserve"> </w:t>
      </w:r>
      <w:r>
        <w:t xml:space="preserve">— the</w:t>
      </w:r>
      <w:r>
        <w:t xml:space="preserve"> </w:t>
      </w:r>
      <w:r>
        <w:rPr>
          <w:b/>
          <w:bCs/>
        </w:rPr>
        <w:t xml:space="preserve">Office of Science</w:t>
      </w:r>
      <w:r>
        <w:t xml:space="preserve">, the single largest federal funder of basic physical-science research in the United States, which runs the ten national laboratories devoted to fundamental science.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National security and cleanup</w:t>
      </w:r>
      <w:r>
        <w:t xml:space="preserve"> </w:t>
      </w:r>
      <w:r>
        <w:t xml:space="preserve">— the</w:t>
      </w:r>
      <w:r>
        <w:t xml:space="preserve"> </w:t>
      </w:r>
      <w:r>
        <w:rPr>
          <w:b/>
          <w:bCs/>
        </w:rPr>
        <w:t xml:space="preserve">National Nuclear Security Administration (NNSA)</w:t>
      </w:r>
      <w:r>
        <w:t xml:space="preserve">, which stewards the nuclear stockpile and nuclear nonproliferation, and the</w:t>
      </w:r>
      <w:r>
        <w:t xml:space="preserve"> </w:t>
      </w:r>
      <w:r>
        <w:rPr>
          <w:b/>
          <w:bCs/>
        </w:rPr>
        <w:t xml:space="preserve">Office of Environmental Management</w:t>
      </w:r>
      <w:r>
        <w:t xml:space="preserve">, which cleans up the legacy of the nuclear weapons complex.</w:t>
      </w:r>
    </w:p>
    <w:p>
      <w:pPr>
        <w:pStyle w:val="FirstParagraph"/>
      </w:pPr>
      <w:r>
        <w:t xml:space="preserve">The cultural through-line:</w:t>
      </w:r>
      <w:r>
        <w:t xml:space="preserve"> </w:t>
      </w:r>
      <w:r>
        <w:rPr>
          <w:b/>
          <w:bCs/>
        </w:rPr>
        <w:t xml:space="preserve">the DOE is a science culture.</w:t>
      </w:r>
      <w:r>
        <w:t xml:space="preserve"> </w:t>
      </w:r>
      <w:r>
        <w:t xml:space="preserve">Its default posture toward the private sector is</w:t>
      </w:r>
      <w:r>
        <w:t xml:space="preserve"> </w:t>
      </w:r>
      <w:r>
        <w:rPr>
          <w:i/>
          <w:iCs/>
        </w:rPr>
        <w:t xml:space="preserve">funder and research partner</w:t>
      </w:r>
      <w:r>
        <w:t xml:space="preserve"> </w:t>
      </w:r>
      <w:r>
        <w:t xml:space="preserve">as much as</w:t>
      </w:r>
      <w:r>
        <w:t xml:space="preserve"> </w:t>
      </w:r>
      <w:r>
        <w:rPr>
          <w:i/>
          <w:iCs/>
        </w:rPr>
        <w:t xml:space="preserve">buyer</w:t>
      </w:r>
      <w:r>
        <w:t xml:space="preserve">. Where a defense program says</w:t>
      </w:r>
      <w:r>
        <w:t xml:space="preserve"> </w:t>
      </w:r>
      <w:r>
        <w:t xml:space="preserve">“</w:t>
      </w:r>
      <w:r>
        <w:t xml:space="preserve">deliver this capability,</w:t>
      </w:r>
      <w:r>
        <w:t xml:space="preserve">”</w:t>
      </w:r>
      <w:r>
        <w:t xml:space="preserve"> </w:t>
      </w:r>
      <w:r>
        <w:t xml:space="preserve">a DOE program often says</w:t>
      </w:r>
      <w:r>
        <w:t xml:space="preserve"> </w:t>
      </w:r>
      <w:r>
        <w:t xml:space="preserve">“</w:t>
      </w:r>
      <w:r>
        <w:t xml:space="preserve">propose the research that advances this mission.</w:t>
      </w:r>
      <w:r>
        <w:t xml:space="preserve">”</w:t>
      </w:r>
      <w:r>
        <w:t xml:space="preserve"> </w:t>
      </w:r>
      <w:r>
        <w:t xml:space="preserve">That posture shows up in everything below.</w:t>
      </w:r>
    </w:p>
    <w:bookmarkEnd w:id="20"/>
    <w:bookmarkStart w:id="21" w:name="the-national-laboratory-posture"/>
    <w:p>
      <w:pPr>
        <w:pStyle w:val="Heading2"/>
      </w:pPr>
      <w:r>
        <w:t xml:space="preserve">The national-laboratory posture</w:t>
      </w:r>
    </w:p>
    <w:p>
      <w:pPr>
        <w:pStyle w:val="FirstParagraph"/>
      </w:pPr>
      <w:r>
        <w:t xml:space="preserve">The DOE owns the nation’s</w:t>
      </w:r>
      <w:r>
        <w:t xml:space="preserve"> </w:t>
      </w:r>
      <w:r>
        <w:rPr>
          <w:b/>
          <w:bCs/>
        </w:rPr>
        <w:t xml:space="preserve">network of national laboratories</w:t>
      </w:r>
      <w:r>
        <w:t xml:space="preserve"> </w:t>
      </w:r>
      <w:r>
        <w:t xml:space="preserve">— roughly seventeen world-class labs (including the big multidisciplinary ones: Argonne, Brookhaven, Lawrence Berkeley, Lawrence Livermore, Los Alamos, Oak Ridge, Pacific Northwest, Sandia, and others) plus the science office’s specialist labs. Three facts about the labs that matter to a pursuer: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labs are operated by contractors.</w:t>
      </w:r>
      <w:r>
        <w:t xml:space="preserve"> </w:t>
      </w:r>
      <w:r>
        <w:t xml:space="preserve">Most national labs are run under large</w:t>
      </w:r>
      <w:r>
        <w:t xml:space="preserve"> </w:t>
      </w:r>
      <w:r>
        <w:rPr>
          <w:b/>
          <w:bCs/>
        </w:rPr>
        <w:t xml:space="preserve">management-and-operating (M&amp;O) contracts</w:t>
      </w:r>
      <w:r>
        <w:t xml:space="preserve"> </w:t>
      </w:r>
      <w:r>
        <w:t xml:space="preserve">— the DOE hires a contractor (often a university consortium or a nonprofit) to operate the lab. Those contracts are huge, long-lived, and periodically competed.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labs are a vast subcontract market.</w:t>
      </w:r>
      <w:r>
        <w:t xml:space="preserve"> </w:t>
      </w:r>
      <w:r>
        <w:t xml:space="preserve">The M&amp;O contractor buys most of what the lab needs — services, equipment, IT, specialized engineering. A small firm that wants DOE work often gets in through the</w:t>
      </w:r>
      <w:r>
        <w:t xml:space="preserve"> </w:t>
      </w:r>
      <w:r>
        <w:rPr>
          <w:i/>
          <w:iCs/>
        </w:rPr>
        <w:t xml:space="preserve">lab’s</w:t>
      </w:r>
      <w:r>
        <w:t xml:space="preserve"> </w:t>
      </w:r>
      <w:r>
        <w:t xml:space="preserve">procurement rather than the department’s. The lab is a customer in its own right, with its own solicitations and its own vendor lists.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labs anchor the SBIR/STTR ecosystem.</w:t>
      </w:r>
      <w:r>
        <w:t xml:space="preserve"> </w:t>
      </w:r>
      <w:r>
        <w:t xml:space="preserve">For small firms, the DOE SBIR/STTR program funds work that is often</w:t>
      </w:r>
      <w:r>
        <w:t xml:space="preserve"> </w:t>
      </w:r>
      <w:r>
        <w:rPr>
          <w:i/>
          <w:iCs/>
        </w:rPr>
        <w:t xml:space="preserve">shaped with</w:t>
      </w:r>
      <w:r>
        <w:t xml:space="preserve"> </w:t>
      </w:r>
      <w:r>
        <w:t xml:space="preserve">lab expertise, and the labs themselves are exactly the kind of</w:t>
      </w:r>
      <w:r>
        <w:t xml:space="preserve"> </w:t>
      </w:r>
      <w:r>
        <w:t xml:space="preserve">“</w:t>
      </w:r>
      <w:r>
        <w:t xml:space="preserve">nonprofit research institution</w:t>
      </w:r>
      <w:r>
        <w:t xml:space="preserve">”</w:t>
      </w:r>
      <w:r>
        <w:t xml:space="preserve"> </w:t>
      </w:r>
      <w:r>
        <w:t xml:space="preserve">an STTR partnership requires. A DOE STTR team is often a small firm plus a national lab.</w:t>
      </w:r>
    </w:p>
    <w:bookmarkEnd w:id="21"/>
    <w:bookmarkStart w:id="23" w:name="solicitation-shapes"/>
    <w:p>
      <w:pPr>
        <w:pStyle w:val="Heading2"/>
      </w:pPr>
      <w:r>
        <w:t xml:space="preserve">Solicitation shapes</w:t>
      </w:r>
    </w:p>
    <w:p>
      <w:pPr>
        <w:pStyle w:val="FirstParagraph"/>
      </w:pPr>
      <w:r>
        <w:t xml:space="preserve">The DOE uses a science-flavored version of the federal toolbox: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Funding Opportunity Announcements (FOAs)</w:t>
      </w:r>
      <w:r>
        <w:t xml:space="preserve"> </w:t>
      </w:r>
      <w:r>
        <w:t xml:space="preserve">— the DOE’s dominant research-solicitation shape. The DOE uses</w:t>
      </w:r>
      <w:r>
        <w:t xml:space="preserve"> </w:t>
      </w:r>
      <w:r>
        <w:t xml:space="preserve">“</w:t>
      </w:r>
      <w:r>
        <w:t xml:space="preserve">FOA</w:t>
      </w:r>
      <w:r>
        <w:t xml:space="preserve">”</w:t>
      </w:r>
      <w:r>
        <w:t xml:space="preserve"> </w:t>
      </w:r>
      <w:r>
        <w:t xml:space="preserve">the way other agencies use</w:t>
      </w:r>
      <w:r>
        <w:t xml:space="preserve"> </w:t>
      </w:r>
      <w:r>
        <w:t xml:space="preserve">“</w:t>
      </w:r>
      <w:r>
        <w:t xml:space="preserve">BAA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NOFO</w:t>
      </w:r>
      <w:r>
        <w:t xml:space="preserve">”</w:t>
      </w:r>
      <w:r>
        <w:t xml:space="preserve">: a published call for research proposals within a program area. (The STTR Phase I NOFO in the</w:t>
      </w:r>
      <w:r>
        <w:t xml:space="preserve"> </w:t>
      </w:r>
      <w:hyperlink r:id="rId22">
        <w:r>
          <w:rPr>
            <w:rStyle w:val="Hyperlink"/>
          </w:rPr>
          <w:t xml:space="preserve">worked exemplar</w:t>
        </w:r>
      </w:hyperlink>
      <w:r>
        <w:t xml:space="preserve"> </w:t>
      </w:r>
      <w:r>
        <w:t xml:space="preserve">is this shape — a call for proposals with merit-review scoring.)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RFP/RFQ</w:t>
      </w:r>
      <w:r>
        <w:t xml:space="preserve"> </w:t>
      </w:r>
      <w:r>
        <w:t xml:space="preserve">for operational buys and lab-support services.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SBIR/STTR solicitations</w:t>
      </w:r>
      <w:r>
        <w:t xml:space="preserve"> </w:t>
      </w:r>
      <w:r>
        <w:t xml:space="preserve">— the DOE’s small-business R&amp;D set-asides, run on a published cadence with energy-flavored topics.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lab contracts</w:t>
      </w:r>
      <w:r>
        <w:t xml:space="preserve"> </w:t>
      </w:r>
      <w:r>
        <w:t xml:space="preserve">— the M&amp;O competitions themselves, and the tens of thousands of subcontracts the labs issue.</w:t>
      </w:r>
    </w:p>
    <w:bookmarkEnd w:id="23"/>
    <w:bookmarkStart w:id="27" w:name="evaluation-emphasis-merit-review"/>
    <w:p>
      <w:pPr>
        <w:pStyle w:val="Heading2"/>
      </w:pPr>
      <w:r>
        <w:t xml:space="preserve">Evaluation emphasis: merit review</w:t>
      </w:r>
    </w:p>
    <w:p>
      <w:pPr>
        <w:pStyle w:val="FirstParagraph"/>
      </w:pPr>
      <w:r>
        <w:t xml:space="preserve">The DOE’s signature evaluation move is</w:t>
      </w:r>
      <w:r>
        <w:t xml:space="preserve"> </w:t>
      </w:r>
      <w:r>
        <w:rPr>
          <w:b/>
          <w:bCs/>
        </w:rPr>
        <w:t xml:space="preserve">merit review</w:t>
      </w:r>
      <w:r>
        <w:t xml:space="preserve">: for research and R&amp;D competitions, outside experts review proposals for</w:t>
      </w:r>
      <w:r>
        <w:t xml:space="preserve"> </w:t>
      </w:r>
      <w:r>
        <w:rPr>
          <w:i/>
          <w:iCs/>
        </w:rPr>
        <w:t xml:space="preserve">scientific and technical merit</w:t>
      </w:r>
      <w:r>
        <w:t xml:space="preserve">, scored against published criteria, and the funding decision follows the review. This is the peer-review philosophy of the science world applied to solicitations (see the</w:t>
      </w:r>
      <w:r>
        <w:t xml:space="preserve"> </w:t>
      </w:r>
      <w:hyperlink r:id="rId24">
        <w:r>
          <w:rPr>
            <w:rStyle w:val="Hyperlink"/>
          </w:rPr>
          <w:t xml:space="preserve">NIH profile</w:t>
        </w:r>
      </w:hyperlink>
      <w:r>
        <w:t xml:space="preserve"> </w:t>
      </w:r>
      <w:r>
        <w:t xml:space="preserve">for the fuller treatment of peer review).</w:t>
      </w:r>
    </w:p>
    <w:p>
      <w:pPr>
        <w:pStyle w:val="BodyText"/>
      </w:pPr>
      <w:r>
        <w:t xml:space="preserve">The durable points for a pursuer: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Technical excellence is the gate.</w:t>
      </w:r>
      <w:r>
        <w:t xml:space="preserve"> </w:t>
      </w:r>
      <w:r>
        <w:t xml:space="preserve">The review rewards the quality, significance, and feasibility of the proposed research — the science has to be credible and the approach sound.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Relevance to the mission is the second gate.</w:t>
      </w:r>
      <w:r>
        <w:t xml:space="preserve"> </w:t>
      </w:r>
      <w:r>
        <w:t xml:space="preserve">The DOE funds research that serves</w:t>
      </w:r>
      <w:r>
        <w:t xml:space="preserve"> </w:t>
      </w:r>
      <w:r>
        <w:rPr>
          <w:i/>
          <w:iCs/>
        </w:rPr>
        <w:t xml:space="preserve">its</w:t>
      </w:r>
      <w:r>
        <w:t xml:space="preserve"> </w:t>
      </w:r>
      <w:r>
        <w:t xml:space="preserve">missions: clean energy, grid reliability, scientific discovery, nuclear security, environmental cleanup. A proposal that is excellent science but irrelevant to the funding program loses to a proposal that is both.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review is documented and score-based.</w:t>
      </w:r>
      <w:r>
        <w:t xml:space="preserve"> </w:t>
      </w:r>
      <w:r>
        <w:t xml:space="preserve">The criteria and weights are published in the FOA; mirror them in the proposal exactly as</w:t>
      </w:r>
      <w:r>
        <w:t xml:space="preserve"> </w:t>
      </w:r>
      <w:hyperlink r:id="rId25">
        <w:r>
          <w:rPr>
            <w:rStyle w:val="Hyperlink"/>
          </w:rPr>
          <w:t xml:space="preserve">doctrine/02</w:t>
        </w:r>
      </w:hyperlink>
      <w:r>
        <w:t xml:space="preserve"> </w:t>
      </w:r>
      <w:r>
        <w:t xml:space="preserve">teaches.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Budget and cost are reviewed too</w:t>
      </w:r>
      <w:r>
        <w:t xml:space="preserve"> </w:t>
      </w:r>
      <w:r>
        <w:t xml:space="preserve">— for reasonableness and alignment with the work, the same</w:t>
      </w:r>
      <w:r>
        <w:t xml:space="preserve"> </w:t>
      </w:r>
      <w:r>
        <w:t xml:space="preserve">“</w:t>
      </w:r>
      <w:r>
        <w:t xml:space="preserve">budget and work tell one story</w:t>
      </w:r>
      <w:r>
        <w:t xml:space="preserve">”</w:t>
      </w:r>
      <w:r>
        <w:t xml:space="preserve"> </w:t>
      </w:r>
      <w:r>
        <w:t xml:space="preserve">rule from</w:t>
      </w:r>
      <w:r>
        <w:t xml:space="preserve"> </w:t>
      </w:r>
      <w:hyperlink r:id="rId26">
        <w:r>
          <w:rPr>
            <w:rStyle w:val="Hyperlink"/>
          </w:rPr>
          <w:t xml:space="preserve">how-to-read-a-nofo</w:t>
        </w:r>
      </w:hyperlink>
      <w:r>
        <w:t xml:space="preserve">.</w:t>
      </w:r>
    </w:p>
    <w:bookmarkEnd w:id="27"/>
    <w:bookmarkStart w:id="29" w:name="sbirsttr-emphasis"/>
    <w:p>
      <w:pPr>
        <w:pStyle w:val="Heading2"/>
      </w:pPr>
      <w:r>
        <w:t xml:space="preserve">SBIR/STTR emphasis</w:t>
      </w:r>
    </w:p>
    <w:p>
      <w:pPr>
        <w:pStyle w:val="FirstParagraph"/>
      </w:pPr>
      <w:r>
        <w:t xml:space="preserve">The DOE is one of the largest SBIR/STTR funders in the federal family (behind the DoD and NIH in dollar volume). Its program has a few durable features: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Energy topics.</w:t>
      </w:r>
      <w:r>
        <w:t xml:space="preserve"> </w:t>
      </w:r>
      <w:r>
        <w:t xml:space="preserve">DOE SBIR/STTR topics track the mission: energy efficiency, renewable energy, the grid, advanced manufacturing, nuclear science, environmental management, and national-security applications.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award sizes are published</w:t>
      </w:r>
      <w:r>
        <w:t xml:space="preserve"> </w:t>
      </w:r>
      <w:r>
        <w:t xml:space="preserve">— Phase I typically in the low hundreds of thousands of dollars, Phase II on the order of a million — exactly the shape the worked exemplar walks through ($250,000 Phase I, up to $1,100,000 Phase II).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commercialization requirement applies</w:t>
      </w:r>
      <w:r>
        <w:t xml:space="preserve"> </w:t>
      </w:r>
      <w:r>
        <w:t xml:space="preserve">(see the</w:t>
      </w:r>
      <w:r>
        <w:t xml:space="preserve"> </w:t>
      </w:r>
      <w:hyperlink r:id="rId28">
        <w:r>
          <w:rPr>
            <w:rStyle w:val="Hyperlink"/>
          </w:rPr>
          <w:t xml:space="preserve">SBIR/STTR profile</w:t>
        </w:r>
      </w:hyperlink>
      <w:r>
        <w:t xml:space="preserve">): DOE wants research that becomes technology in the marketplace and serves the energy mission.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labs make it a two-sided market</w:t>
      </w:r>
      <w:r>
        <w:t xml:space="preserve">: DOE topics often carry laboratory context, and the STTR research-institution slot is a natural fit for a national lab.</w:t>
      </w:r>
    </w:p>
    <w:bookmarkEnd w:id="29"/>
    <w:bookmarkStart w:id="31" w:name="vehicles-and-set-aside-landscape"/>
    <w:p>
      <w:pPr>
        <w:pStyle w:val="Heading2"/>
      </w:pPr>
      <w:r>
        <w:t xml:space="preserve">Vehicles and set-aside landscape</w:t>
      </w:r>
    </w:p>
    <w:p>
      <w:pPr>
        <w:pStyle w:val="FirstParagraph"/>
      </w:pPr>
      <w:r>
        <w:t xml:space="preserve">For operational and services work, the DOE uses the standard federal vehicles — IDIQs for lab and site support, GSA schedules and GWACs for shared needs (see the</w:t>
      </w:r>
      <w:r>
        <w:t xml:space="preserve"> </w:t>
      </w:r>
      <w:hyperlink r:id="rId30">
        <w:r>
          <w:rPr>
            <w:rStyle w:val="Hyperlink"/>
          </w:rPr>
          <w:t xml:space="preserve">GSA profile</w:t>
        </w:r>
      </w:hyperlink>
      <w:r>
        <w:t xml:space="preserve">) — and its procurement is heavily concentrated at the sites (the labs, the cleanup sites, the production facilities). The set-aside landscape is the standard one — small business, 8(a), HUBZone, SDVOSB/VOSB, WOSB — with the added nuance that</w:t>
      </w:r>
      <w:r>
        <w:t xml:space="preserve"> </w:t>
      </w:r>
      <w:r>
        <w:rPr>
          <w:i/>
          <w:iCs/>
        </w:rPr>
        <w:t xml:space="preserve">the labs themselves carry small-business subcontracting goals</w:t>
      </w:r>
      <w:r>
        <w:t xml:space="preserve">, which is how many small firms first sell into the DOE system.</w:t>
      </w:r>
    </w:p>
    <w:bookmarkEnd w:id="31"/>
    <w:bookmarkStart w:id="32" w:name="the-environmentalenergy-mission-context"/>
    <w:p>
      <w:pPr>
        <w:pStyle w:val="Heading2"/>
      </w:pPr>
      <w:r>
        <w:t xml:space="preserve">The environmental/energy mission context</w:t>
      </w:r>
    </w:p>
    <w:p>
      <w:pPr>
        <w:pStyle w:val="FirstParagraph"/>
      </w:pPr>
      <w:r>
        <w:t xml:space="preserve">Two mission currents shape almost everything the DOE buys and funds: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Energy.</w:t>
      </w:r>
      <w:r>
        <w:t xml:space="preserve"> </w:t>
      </w:r>
      <w:r>
        <w:t xml:space="preserve">The department is the federal home of the energy transition: grid modernization, storage, efficiency, and clean-energy technology. Energy topics dominate its R&amp;D and much of its procurement — and the evaluation language returns constantly to energy outcomes.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Environmental.</w:t>
      </w:r>
      <w:r>
        <w:t xml:space="preserve"> </w:t>
      </w:r>
      <w:r>
        <w:t xml:space="preserve">The DOE also owns the largest environmental-cleanup obligation in the federal government, at its Cold War-era nuclear sites. Environmental management is a decades-long, highly specialized market — remediation, waste processing, safety — with its own contractors, its own sites, and its own steady stream of work.</w:t>
      </w:r>
    </w:p>
    <w:p>
      <w:pPr>
        <w:pStyle w:val="FirstParagraph"/>
      </w:pPr>
      <w:r>
        <w:t xml:space="preserve">A pursuer should read the mission current as the culture:</w:t>
      </w:r>
      <w:r>
        <w:t xml:space="preserve"> </w:t>
      </w:r>
      <w:r>
        <w:rPr>
          <w:b/>
          <w:bCs/>
        </w:rPr>
        <w:t xml:space="preserve">proposals and offerings that speak the DOE’s mission language — energy, science, security, cleanup — read as credible; proposals that treat the DOE as just another buyer do not.</w:t>
      </w:r>
    </w:p>
    <w:bookmarkEnd w:id="32"/>
    <w:bookmarkStart w:id="37" w:name="learning-pointers"/>
    <w:p>
      <w:pPr>
        <w:pStyle w:val="Heading2"/>
      </w:pPr>
      <w:r>
        <w:t xml:space="preserve">Learning pointers</w:t>
      </w:r>
    </w:p>
    <w:p>
      <w:pPr>
        <w:pStyle w:val="BlockText"/>
      </w:pPr>
      <w:r>
        <w:rPr>
          <w:b/>
          <w:bCs/>
        </w:rPr>
        <w:t xml:space="preserve">Learning pointers.</w:t>
      </w:r>
      <w:r>
        <w:t xml:space="preserve"> </w:t>
      </w:r>
      <w:r>
        <w:t xml:space="preserve">The DOE profile is the closest study the course offers of a research-funding agency that is also a major buyer.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Doctrine</w:t>
      </w:r>
      <w:r>
        <w:t xml:space="preserve"> </w:t>
      </w:r>
      <w:r>
        <w:t xml:space="preserve">—</w:t>
      </w:r>
      <w:r>
        <w:t xml:space="preserve"> </w:t>
      </w:r>
      <w:hyperlink r:id="rId33">
        <w:r>
          <w:rPr>
            <w:rStyle w:val="Hyperlink"/>
          </w:rPr>
          <w:t xml:space="preserve">doctrine/01</w:t>
        </w:r>
      </w:hyperlink>
      <w:r>
        <w:t xml:space="preserve"> </w:t>
      </w:r>
      <w:r>
        <w:t xml:space="preserve">(assistance vs. contract; the DOE does both),</w:t>
      </w:r>
      <w:r>
        <w:t xml:space="preserve"> </w:t>
      </w:r>
      <w:hyperlink r:id="rId25">
        <w:r>
          <w:rPr>
            <w:rStyle w:val="Hyperlink"/>
          </w:rPr>
          <w:t xml:space="preserve">doctrine/02</w:t>
        </w:r>
      </w:hyperlink>
      <w:r>
        <w:t xml:space="preserve"> </w:t>
      </w:r>
      <w:r>
        <w:t xml:space="preserve">(the FOA/NOFO shape),</w:t>
      </w:r>
      <w:r>
        <w:t xml:space="preserve"> </w:t>
      </w:r>
      <w:hyperlink r:id="rId34">
        <w:r>
          <w:rPr>
            <w:rStyle w:val="Hyperlink"/>
          </w:rPr>
          <w:t xml:space="preserve">doctrine/05</w:t>
        </w:r>
      </w:hyperlink>
      <w:r>
        <w:t xml:space="preserve"> </w:t>
      </w:r>
      <w:r>
        <w:t xml:space="preserve">(published award sizes, budget alignment).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Literacy</w:t>
      </w:r>
      <w:r>
        <w:t xml:space="preserve"> </w:t>
      </w:r>
      <w:r>
        <w:t xml:space="preserve">—</w:t>
      </w:r>
      <w:r>
        <w:t xml:space="preserve"> </w:t>
      </w:r>
      <w:hyperlink r:id="rId26">
        <w:r>
          <w:rPr>
            <w:rStyle w:val="Hyperlink"/>
          </w:rPr>
          <w:t xml:space="preserve">how-to-read-a-nofo</w:t>
        </w:r>
      </w:hyperlink>
      <w:r>
        <w:t xml:space="preserve"> </w:t>
      </w:r>
      <w:r>
        <w:t xml:space="preserve">(the anatomy of the STTR NOFO),</w:t>
      </w:r>
      <w:r>
        <w:t xml:space="preserve"> </w:t>
      </w:r>
      <w:hyperlink r:id="rId35">
        <w:r>
          <w:rPr>
            <w:rStyle w:val="Hyperlink"/>
          </w:rPr>
          <w:t xml:space="preserve">where-the-money-flows</w:t>
        </w:r>
      </w:hyperlink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Practice</w:t>
      </w:r>
      <w:r>
        <w:t xml:space="preserve"> </w:t>
      </w:r>
      <w:r>
        <w:t xml:space="preserve">— the</w:t>
      </w:r>
      <w:r>
        <w:t xml:space="preserve"> </w:t>
      </w:r>
      <w:hyperlink r:id="rId22">
        <w:r>
          <w:rPr>
            <w:rStyle w:val="Hyperlink"/>
          </w:rPr>
          <w:t xml:space="preserve">worked exemplar</w:t>
        </w:r>
      </w:hyperlink>
      <w:r>
        <w:t xml:space="preserve"> </w:t>
      </w:r>
      <w:r>
        <w:t xml:space="preserve">is a DOE STTR Phase I; read it with this profile open and watch the merit-review criteria (Technical Merit 40%, Impact 25%, Team 20%, Budget 15%) drive the proposal structure.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Case study</w:t>
      </w:r>
      <w:r>
        <w:t xml:space="preserve"> </w:t>
      </w:r>
      <w:r>
        <w:t xml:space="preserve">— Ravonics’ physics-and-modeling bench, its</w:t>
      </w:r>
      <w:r>
        <w:t xml:space="preserve"> </w:t>
      </w:r>
      <w:r>
        <w:rPr>
          <w:rStyle w:val="VerbatimChar"/>
        </w:rPr>
        <w:t xml:space="preserve">541715</w:t>
      </w:r>
      <w:r>
        <w:t xml:space="preserve"> </w:t>
      </w:r>
      <w:r>
        <w:t xml:space="preserve">R&amp;D NAICS, and its INSTAR Lab STTR partnership are a natural fit for the DOE SBIR/STTR lane.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Course</w:t>
      </w:r>
      <w:r>
        <w:t xml:space="preserve"> </w:t>
      </w:r>
      <w:r>
        <w:t xml:space="preserve">— the R&amp;D-funding discussion belongs in the strategic-initiative track (</w:t>
      </w:r>
      <w:hyperlink r:id="rId36">
        <w:r>
          <w:rPr>
            <w:rStyle w:val="Hyperlink"/>
          </w:rPr>
          <w:t xml:space="preserve">modules/strategic-initiative.md</w:t>
        </w:r>
      </w:hyperlink>
      <w:r>
        <w:t xml:space="preserve">); the capstone can be run on any DOE FOA.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Verify</w:t>
      </w:r>
      <w:r>
        <w:t xml:space="preserve"> </w:t>
      </w:r>
      <w:r>
        <w:t xml:space="preserve">— DOE FOA schedules, topic lists, and lab-contract structures change; confirm the live FOA on the DOE site or Grants.gov and the SBIR/STTR status on SBIR.gov before committing.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26" Type="http://schemas.openxmlformats.org/officeDocument/2006/relationships/hyperlink" Target="../how-to-read-a-nofo.md" TargetMode="External"/><Relationship Id="rId39" Type="http://schemas.openxmlformats.org/officeDocument/2006/relationships/customXml" Target="../customXml/item3.xml"/><Relationship Id="rId3" Type="http://schemas.openxmlformats.org/officeDocument/2006/relationships/settings" Target="settings.xml"/><Relationship Id="rId34" Type="http://schemas.openxmlformats.org/officeDocument/2006/relationships/hyperlink" Target="../../doctrine/05-scoring-and-price-to-win.md" TargetMode="External"/><Relationship Id="rId7" Type="http://schemas.openxmlformats.org/officeDocument/2006/relationships/footnotes" Target="footnotes.xml"/><Relationship Id="rId33" Type="http://schemas.openxmlformats.org/officeDocument/2006/relationships/hyperlink" Target="../../doctrine/01-where-the-money-lives.md" TargetMode="External"/><Relationship Id="rId25" Type="http://schemas.openxmlformats.org/officeDocument/2006/relationships/hyperlink" Target="../../doctrine/02-rfps-and-solicitations.md" TargetMode="External"/><Relationship Id="rId38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hyperlink" Target="nih.md" TargetMode="External"/><Relationship Id="rId37" Type="http://schemas.openxmlformats.org/officeDocument/2006/relationships/customXml" Target="../customXml/item1.xml"/><Relationship Id="rId5" Type="http://schemas.openxmlformats.org/officeDocument/2006/relationships/fontTable" Target="fontTable.xml"/><Relationship Id="rId36" Type="http://schemas.openxmlformats.org/officeDocument/2006/relationships/hyperlink" Target="../../modules/strategic-initiative.md" TargetMode="External"/><Relationship Id="rId28" Type="http://schemas.openxmlformats.org/officeDocument/2006/relationships/hyperlink" Target="sbir-sttr.md" TargetMode="External"/><Relationship Id="rId4" Type="http://schemas.openxmlformats.org/officeDocument/2006/relationships/webSettings" Target="webSettings.xml"/><Relationship Id="rId22" Type="http://schemas.openxmlformats.org/officeDocument/2006/relationships/hyperlink" Target="../../practice/worked-exemplar-day-in-the-life.md" TargetMode="External"/><Relationship Id="rId35" Type="http://schemas.openxmlformats.org/officeDocument/2006/relationships/hyperlink" Target="../where-the-money-flows.md" TargetMode="External"/><Relationship Id="rId30" Type="http://schemas.openxmlformats.org/officeDocument/2006/relationships/hyperlink" Target="gsa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../../doctrine/01-where-the-money-lives.md" TargetMode="External" /><Relationship Type="http://schemas.openxmlformats.org/officeDocument/2006/relationships/hyperlink" Id="rId25" Target="../../doctrine/02-rfps-and-solicitations.md" TargetMode="External" /><Relationship Type="http://schemas.openxmlformats.org/officeDocument/2006/relationships/hyperlink" Id="rId34" Target="../../doctrine/05-scoring-and-price-to-win.md" TargetMode="External" /><Relationship Type="http://schemas.openxmlformats.org/officeDocument/2006/relationships/hyperlink" Id="rId36" Target="../../modules/strategic-initiative.md" TargetMode="External" /><Relationship Type="http://schemas.openxmlformats.org/officeDocument/2006/relationships/hyperlink" Id="rId22" Target="../../practice/worked-exemplar-day-in-the-life.md" TargetMode="External" /><Relationship Type="http://schemas.openxmlformats.org/officeDocument/2006/relationships/hyperlink" Id="rId26" Target="../how-to-read-a-nofo.md" TargetMode="External" /><Relationship Type="http://schemas.openxmlformats.org/officeDocument/2006/relationships/hyperlink" Id="rId35" Target="../where-the-money-flows.md" TargetMode="External" /><Relationship Type="http://schemas.openxmlformats.org/officeDocument/2006/relationships/hyperlink" Id="rId30" Target="gsa.md" TargetMode="External" /><Relationship Type="http://schemas.openxmlformats.org/officeDocument/2006/relationships/hyperlink" Id="rId24" Target="nih.md" TargetMode="External" /><Relationship Type="http://schemas.openxmlformats.org/officeDocument/2006/relationships/hyperlink" Id="rId28" Target="sbir-sttr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F370EFCF-2335-47D2-8888-8330750F046A}"/>
</file>

<file path=customXml/itemProps2.xml><?xml version="1.0" encoding="utf-8"?>
<ds:datastoreItem xmlns:ds="http://schemas.openxmlformats.org/officeDocument/2006/customXml" ds:itemID="{E59545C2-F461-4D02-8D07-FBF5EC5AB83D}"/>
</file>

<file path=customXml/itemProps3.xml><?xml version="1.0" encoding="utf-8"?>
<ds:datastoreItem xmlns:ds="http://schemas.openxmlformats.org/officeDocument/2006/customXml" ds:itemID="{E6B6A040-F1C2-4D95-879E-E298D7B492E0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2026-08-05T17:24:55Z</dcterms:created>
  <dcterms:modified xsi:type="dcterms:W3CDTF">2026-08-05T17:24:55Z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