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7" w:name="doctrine-05-scoring-and-price-to-win"/>
    <w:p>
      <w:pPr>
        <w:pStyle w:val="Heading1"/>
      </w:pPr>
      <w:r>
        <w:t xml:space="preserve">Doctrine 05 — Scoring and Price-to-Win</w:t>
      </w:r>
    </w:p>
    <w:p>
      <w:pPr>
        <w:pStyle w:val="FirstParagraph"/>
      </w:pPr>
      <w:r>
        <w:rPr>
          <w:i/>
          <w:iCs/>
        </w:rPr>
        <w:t xml:space="preserve">One durable concept: turn hope into arithmetic, and arithmetic into a decision.</w:t>
      </w:r>
    </w:p>
    <w:p>
      <w:pPr>
        <w:pStyle w:val="BodyText"/>
      </w:pPr>
      <w:r>
        <w:t xml:space="preserve">Somewhere between</w:t>
      </w:r>
      <w:r>
        <w:t xml:space="preserve"> </w:t>
      </w:r>
      <w:r>
        <w:t xml:space="preserve">“</w:t>
      </w:r>
      <w:r>
        <w:t xml:space="preserve">this opportunity looks interesting</w:t>
      </w:r>
      <w:r>
        <w:t xml:space="preserve">”</w:t>
      </w:r>
      <w:r>
        <w:t xml:space="preserve"> </w:t>
      </w:r>
      <w:r>
        <w:t xml:space="preserve">and</w:t>
      </w:r>
      <w:r>
        <w:t xml:space="preserve"> </w:t>
      </w:r>
      <w:r>
        <w:t xml:space="preserve">“</w:t>
      </w:r>
      <w:r>
        <w:t xml:space="preserve">we are writing a proposal,</w:t>
      </w:r>
      <w:r>
        <w:t xml:space="preserve">”</w:t>
      </w:r>
      <w:r>
        <w:t xml:space="preserve"> </w:t>
      </w:r>
      <w:r>
        <w:t xml:space="preserve">an organization must decide</w:t>
      </w:r>
      <w:r>
        <w:t xml:space="preserve"> </w:t>
      </w:r>
      <w:r>
        <w:rPr>
          <w:b/>
          <w:bCs/>
        </w:rPr>
        <w:t xml:space="preserve">how much this pursuit is worth and how likely we are to win it.</w:t>
      </w:r>
      <w:r>
        <w:t xml:space="preserve"> </w:t>
      </w:r>
      <w:r>
        <w:t xml:space="preserve">That decision is the score, and the score is the arithmetic of the pipeline.</w:t>
      </w:r>
    </w:p>
    <w:bookmarkStart w:id="20" w:name="the-score-is-a-probability-times-a-value"/>
    <w:p>
      <w:pPr>
        <w:pStyle w:val="Heading2"/>
      </w:pPr>
      <w:r>
        <w:t xml:space="preserve">The score is a probability times a value</w:t>
      </w:r>
    </w:p>
    <w:p>
      <w:pPr>
        <w:pStyle w:val="FirstParagraph"/>
      </w:pPr>
      <w:r>
        <w:t xml:space="preserve">The most durable shape of a pursuit score is two numbers multiplied together:</w:t>
      </w:r>
    </w:p>
    <w:p>
      <w:pPr>
        <w:pStyle w:val="SourceCode"/>
      </w:pPr>
      <w:r>
        <w:rPr>
          <w:rStyle w:val="VerbatimChar"/>
        </w:rPr>
        <w:t xml:space="preserve">Score = (probability of win) × (estimated value)</w:t>
      </w:r>
      <w:r>
        <w:br/>
      </w:r>
      <w:r>
        <w:rPr>
          <w:rStyle w:val="VerbatimChar"/>
        </w:rPr>
        <w:t xml:space="preserve">        ── "how likely?" ──     ── "what is it worth?" ──</w:t>
      </w:r>
    </w:p>
    <w:p>
      <w:pPr>
        <w:pStyle w:val="FirstParagraph"/>
      </w:pPr>
      <w:r>
        <w:t xml:space="preserve">The probability of win —</w:t>
      </w:r>
      <w:r>
        <w:t xml:space="preserve"> </w:t>
      </w:r>
      <w:r>
        <w:rPr>
          <w:b/>
          <w:bCs/>
        </w:rPr>
        <w:t xml:space="preserve">pWin</w:t>
      </w:r>
      <w:r>
        <w:t xml:space="preserve"> </w:t>
      </w:r>
      <w:r>
        <w:t xml:space="preserve">— is an honest, disciplined estimate of your chance of winning if you pursue well. It is not hope; it is a judgment assembled from evidence. The classic inputs are the same few everywhere:</w:t>
      </w:r>
      <w:r>
        <w:t xml:space="preserve"> </w:t>
      </w:r>
      <w:r>
        <w:rPr>
          <w:i/>
          <w:iCs/>
        </w:rPr>
        <w:t xml:space="preserve">Do we know the customer? Do we have the past performance? Can we price competitively? Do we have the right team and capacity? Does it align with our strategy?</w:t>
      </w:r>
    </w:p>
    <w:p>
      <w:pPr>
        <w:pStyle w:val="BodyText"/>
      </w:pPr>
      <w:r>
        <w:t xml:space="preserve">The value is what the pursuit is worth if you win it — the expected contract or award value. Multiply the two, and you get a number that lets you compare wildly different opportunities: a $200,000 pursuit you have a 60% chance of winning scores higher than a $2,000,000 pursuit you have a 5% chance of winning — and the score tells you so without an argument.</w:t>
      </w:r>
    </w:p>
    <w:bookmarkEnd w:id="20"/>
    <w:bookmarkStart w:id="21" w:name="the-threshold-gate"/>
    <w:p>
      <w:pPr>
        <w:pStyle w:val="Heading2"/>
      </w:pPr>
      <w:r>
        <w:t xml:space="preserve">The threshold gate</w:t>
      </w:r>
    </w:p>
    <w:p>
      <w:pPr>
        <w:pStyle w:val="FirstParagraph"/>
      </w:pPr>
      <w:r>
        <w:t xml:space="preserve">A score is only useful if there is a line. Organizations set a</w:t>
      </w:r>
      <w:r>
        <w:t xml:space="preserve"> </w:t>
      </w:r>
      <w:r>
        <w:rPr>
          <w:b/>
          <w:bCs/>
        </w:rPr>
        <w:t xml:space="preserve">threshold</w:t>
      </w:r>
      <w:r>
        <w:t xml:space="preserve"> </w:t>
      </w:r>
      <w:r>
        <w:t xml:space="preserve">— a minimum score, or a minimum pWin, or a minimum value — and the gate says</w:t>
      </w:r>
      <w:r>
        <w:t xml:space="preserve"> </w:t>
      </w:r>
      <w:r>
        <w:rPr>
          <w:i/>
          <w:iCs/>
        </w:rPr>
        <w:t xml:space="preserve">pass or fail</w:t>
      </w:r>
      <w:r>
        <w:t xml:space="preserve">: above the line, the pursuit advances; below it, the pursuit is dropped or parked. The threshold is the bridge between Doctrine 03 (the pipeline) and Doctrine 04 (the gates): it is the criteria the qualify/score gate is testing against.</w:t>
      </w:r>
    </w:p>
    <w:p>
      <w:pPr>
        <w:pStyle w:val="BodyText"/>
      </w:pPr>
      <w:r>
        <w:t xml:space="preserve">The exact number matters less than the discipline. A threshold forces the hard conversation</w:t>
      </w:r>
      <w:r>
        <w:t xml:space="preserve"> </w:t>
      </w:r>
      <w:r>
        <w:rPr>
          <w:i/>
          <w:iCs/>
        </w:rPr>
        <w:t xml:space="preserve">before</w:t>
      </w:r>
      <w:r>
        <w:t xml:space="preserve"> </w:t>
      </w:r>
      <w:r>
        <w:t xml:space="preserve">resources are spent, and it gives an organization the courage to say no to a pursuit that is exciting and un-winnable. If your threshold is honest, you will occasionally decline opportunities that others chase — and you will be fine.</w:t>
      </w:r>
    </w:p>
    <w:bookmarkEnd w:id="21"/>
    <w:bookmarkStart w:id="22" w:name="pwin-is-an-opinion-you-have-to-defend"/>
    <w:p>
      <w:pPr>
        <w:pStyle w:val="Heading2"/>
      </w:pPr>
      <w:r>
        <w:t xml:space="preserve">pWin is an opinion you have to defend</w:t>
      </w:r>
    </w:p>
    <w:p>
      <w:pPr>
        <w:pStyle w:val="FirstParagraph"/>
      </w:pPr>
      <w:r>
        <w:t xml:space="preserve">Here is the subtle part:</w:t>
      </w:r>
      <w:r>
        <w:t xml:space="preserve"> </w:t>
      </w:r>
      <w:r>
        <w:rPr>
          <w:b/>
          <w:bCs/>
        </w:rPr>
        <w:t xml:space="preserve">pWin is not measured; it is estimated, and the estimate has to survive a room.</w:t>
      </w:r>
      <w:r>
        <w:t xml:space="preserve"> </w:t>
      </w:r>
      <w:r>
        <w:t xml:space="preserve">The professionals who do this well do not trust one gut. They break the estimate into factors, score each factor, and weight them — which makes the estimate auditable.</w:t>
      </w:r>
      <w:r>
        <w:t xml:space="preserve"> </w:t>
      </w:r>
      <w:r>
        <w:rPr>
          <w:i/>
          <w:iCs/>
        </w:rPr>
        <w:t xml:space="preserve">Why did we give customer relationship a 2 out of 5?</w:t>
      </w:r>
      <w:r>
        <w:t xml:space="preserve"> </w:t>
      </w:r>
      <w:r>
        <w:t xml:space="preserve">Because the last contact was nine months ago.</w:t>
      </w:r>
      <w:r>
        <w:t xml:space="preserve"> </w:t>
      </w:r>
      <w:r>
        <w:rPr>
          <w:i/>
          <w:iCs/>
        </w:rPr>
        <w:t xml:space="preserve">Then the composite is honest.</w:t>
      </w:r>
    </w:p>
    <w:p>
      <w:pPr>
        <w:pStyle w:val="BodyText"/>
      </w:pPr>
      <w:r>
        <w:t xml:space="preserve">Do not fear the subjectivity. Fear the subjectivity that is not surfaced. A scoring rubric exists to drag the assumptions into the light, where they can be argued with evidence instead of vibes.</w:t>
      </w:r>
    </w:p>
    <w:bookmarkEnd w:id="22"/>
    <w:bookmarkStart w:id="23" w:name="price-to-win-the-second-arithmetic"/>
    <w:p>
      <w:pPr>
        <w:pStyle w:val="Heading2"/>
      </w:pPr>
      <w:r>
        <w:t xml:space="preserve">Price-to-win: the second arithmetic</w:t>
      </w:r>
    </w:p>
    <w:p>
      <w:pPr>
        <w:pStyle w:val="FirstParagraph"/>
      </w:pPr>
      <w:r>
        <w:t xml:space="preserve">The score decides</w:t>
      </w:r>
      <w:r>
        <w:t xml:space="preserve"> </w:t>
      </w:r>
      <w:r>
        <w:rPr>
          <w:i/>
          <w:iCs/>
        </w:rPr>
        <w:t xml:space="preserve">whether</w:t>
      </w:r>
      <w:r>
        <w:t xml:space="preserve"> </w:t>
      </w:r>
      <w:r>
        <w:t xml:space="preserve">to pursue.</w:t>
      </w:r>
      <w:r>
        <w:t xml:space="preserve"> </w:t>
      </w:r>
      <w:r>
        <w:rPr>
          <w:b/>
          <w:bCs/>
        </w:rPr>
        <w:t xml:space="preserve">Price-to-win</w:t>
      </w:r>
      <w:r>
        <w:t xml:space="preserve"> </w:t>
      </w:r>
      <w:r>
        <w:t xml:space="preserve">decides</w:t>
      </w:r>
      <w:r>
        <w:t xml:space="preserve"> </w:t>
      </w:r>
      <w:r>
        <w:rPr>
          <w:i/>
          <w:iCs/>
        </w:rPr>
        <w:t xml:space="preserve">what to bid</w:t>
      </w:r>
      <w:r>
        <w:t xml:space="preserve"> </w:t>
      </w:r>
      <w:r>
        <w:t xml:space="preserve">— the price that is low enough to be competitive and high enough to be real. It is a separate discipline, and it is the one that makes MBA students’ eyes light up.</w:t>
      </w:r>
    </w:p>
    <w:p>
      <w:pPr>
        <w:pStyle w:val="BodyText"/>
      </w:pPr>
      <w:r>
        <w:t xml:space="preserve">The core idea is that</w:t>
      </w:r>
      <w:r>
        <w:t xml:space="preserve"> </w:t>
      </w:r>
      <w:r>
        <w:rPr>
          <w:b/>
          <w:bCs/>
        </w:rPr>
        <w:t xml:space="preserve">price is not a guess; it is a position.</w:t>
      </w:r>
      <w:r>
        <w:t xml:space="preserve"> </w:t>
      </w:r>
      <w:r>
        <w:t xml:space="preserve">The right bid is set against your understanding of the competitive field: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What does it cost us?</w:t>
      </w:r>
      <w:r>
        <w:t xml:space="preserve"> </w:t>
      </w:r>
      <w:r>
        <w:t xml:space="preserve">The honest cost of doing the work — the floor you cannot price below and stay healthy.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What will the market bear?</w:t>
      </w:r>
      <w:r>
        <w:t xml:space="preserve"> </w:t>
      </w:r>
      <w:r>
        <w:t xml:space="preserve">The competitive range you estimate the field will land in.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What does the evaluation reward?</w:t>
      </w:r>
      <w:r>
        <w:t xml:space="preserve"> </w:t>
      </w:r>
      <w:r>
        <w:t xml:space="preserve">If the agency buys on lowest price technically acceptable (LPTA), price is nearly everything. If it buys on best value, a defensible higher price with a stronger technical story can win.</w:t>
      </w:r>
    </w:p>
    <w:p>
      <w:pPr>
        <w:pStyle w:val="FirstParagraph"/>
      </w:pPr>
      <w:r>
        <w:t xml:space="preserve">Price-to-win is the intersection: inside the competitive range, above your floor, and priced to your position. A bid that is too high loses on price. A bid that is too low wins a contract that bleeds you — the worst outcome in the whole discipline.</w:t>
      </w:r>
    </w:p>
    <w:bookmarkEnd w:id="23"/>
    <w:bookmarkStart w:id="24" w:name="where-the-score-lives-in-the-doctrine"/>
    <w:p>
      <w:pPr>
        <w:pStyle w:val="Heading2"/>
      </w:pPr>
      <w:r>
        <w:t xml:space="preserve">Where the score lives in the doctrine</w:t>
      </w:r>
    </w:p>
    <w:p>
      <w:pPr>
        <w:pStyle w:val="FirstParagraph"/>
      </w:pPr>
      <w:r>
        <w:t xml:space="preserve">The score sits between</w:t>
      </w:r>
      <w:r>
        <w:t xml:space="preserve"> </w:t>
      </w:r>
      <w:r>
        <w:rPr>
          <w:i/>
          <w:iCs/>
        </w:rPr>
        <w:t xml:space="preserve">qualify</w:t>
      </w:r>
      <w:r>
        <w:t xml:space="preserve"> </w:t>
      </w:r>
      <w:r>
        <w:t xml:space="preserve">and</w:t>
      </w:r>
      <w:r>
        <w:t xml:space="preserve"> </w:t>
      </w:r>
      <w:r>
        <w:rPr>
          <w:i/>
          <w:iCs/>
        </w:rPr>
        <w:t xml:space="preserve">pursue</w:t>
      </w:r>
      <w:r>
        <w:t xml:space="preserve"> </w:t>
      </w:r>
      <w:r>
        <w:t xml:space="preserve">in the pipeline:</w:t>
      </w:r>
    </w:p>
    <w:p>
      <w:pPr>
        <w:pStyle w:val="SourceCode"/>
      </w:pPr>
      <w:r>
        <w:rPr>
          <w:rStyle w:val="VerbatimChar"/>
        </w:rPr>
        <w:t xml:space="preserve"> qualify ──[bid/no-bid?]──→ score ──[threshold?]──→ pursue</w:t>
      </w:r>
      <w:r>
        <w:br/>
      </w:r>
      <w:r>
        <w:rPr>
          <w:rStyle w:val="VerbatimChar"/>
        </w:rPr>
        <w:t xml:space="preserve">                             │</w:t>
      </w:r>
      <w:r>
        <w:br/>
      </w:r>
      <w:r>
        <w:rPr>
          <w:rStyle w:val="VerbatimChar"/>
        </w:rPr>
        <w:t xml:space="preserve">                       pWin × value</w:t>
      </w:r>
      <w:r>
        <w:br/>
      </w:r>
      <w:r>
        <w:rPr>
          <w:rStyle w:val="VerbatimChar"/>
        </w:rPr>
        <w:t xml:space="preserve">                       above the line?</w:t>
      </w:r>
    </w:p>
    <w:p>
      <w:pPr>
        <w:pStyle w:val="FirstParagraph"/>
      </w:pPr>
      <w:r>
        <w:t xml:space="preserve">And note what the score does not do: it does not replace judgment. It</w:t>
      </w:r>
      <w:r>
        <w:t xml:space="preserve"> </w:t>
      </w:r>
      <w:r>
        <w:rPr>
          <w:i/>
          <w:iCs/>
        </w:rPr>
        <w:t xml:space="preserve">informs</w:t>
      </w:r>
      <w:r>
        <w:t xml:space="preserve"> </w:t>
      </w:r>
      <w:r>
        <w:t xml:space="preserve">the gate, and the gate remains a governance decision owned by a person. The arithmetic makes the conversation honest; the human makes the call. That division — arithmetic for honesty, governance for the call — is the whole philosophy of scoring in this doctrine.</w:t>
      </w:r>
    </w:p>
    <w:bookmarkEnd w:id="24"/>
    <w:bookmarkStart w:id="25" w:name="what-this-means-for-your-career"/>
    <w:p>
      <w:pPr>
        <w:pStyle w:val="Heading2"/>
      </w:pPr>
      <w:r>
        <w:t xml:space="preserve">What this means for your career</w:t>
      </w:r>
    </w:p>
    <w:p>
      <w:pPr>
        <w:pStyle w:val="FirstParagraph"/>
      </w:pPr>
      <w:r>
        <w:t xml:space="preserve">Scoring literacy is decision literacy. The ability to turn</w:t>
      </w:r>
      <w:r>
        <w:t xml:space="preserve"> </w:t>
      </w:r>
      <w:r>
        <w:t xml:space="preserve">“</w:t>
      </w:r>
      <w:r>
        <w:t xml:space="preserve">this feels like a good opportunity</w:t>
      </w:r>
      <w:r>
        <w:t xml:space="preserve">”</w:t>
      </w:r>
      <w:r>
        <w:t xml:space="preserve"> </w:t>
      </w:r>
      <w:r>
        <w:t xml:space="preserve">into</w:t>
      </w:r>
      <w:r>
        <w:t xml:space="preserve"> </w:t>
      </w:r>
      <w:r>
        <w:t xml:space="preserve">“</w:t>
      </w:r>
      <w:r>
        <w:t xml:space="preserve">this scores 0.31 against a 0.42 threshold — let’s talk about why</w:t>
      </w:r>
      <w:r>
        <w:t xml:space="preserve">”</w:t>
      </w:r>
      <w:r>
        <w:t xml:space="preserve"> </w:t>
      </w:r>
      <w:r>
        <w:t xml:space="preserve">is a skill that transfers everywhere: grants portfolios, sales pipelines, product decisions, investment theses. The pattern —</w:t>
      </w:r>
      <w:r>
        <w:t xml:space="preserve"> </w:t>
      </w:r>
      <w:r>
        <w:rPr>
          <w:i/>
          <w:iCs/>
        </w:rPr>
        <w:t xml:space="preserve">estimate the probability, estimate the value, set a threshold, argue with evidence</w:t>
      </w:r>
      <w:r>
        <w:t xml:space="preserve"> </w:t>
      </w:r>
      <w:r>
        <w:t xml:space="preserve">— is a general-purpose decision machine.</w:t>
      </w:r>
    </w:p>
    <w:p>
      <w:pPr>
        <w:pStyle w:val="BodyText"/>
      </w:pPr>
      <w:r>
        <w:t xml:space="preserve">For the MBA student, price-to-win is where the business analysis lives: cost structures, competitive ranges, and the profitability of winning. For the MPA student, the threshold is where accountability lives: public money spent only on pursuits that clear a defensible bar. For the Strategic Initiative student, scoring is the portfolio question: how the organization bets its attention across the whole landscape.</w:t>
      </w:r>
    </w:p>
    <w:bookmarkEnd w:id="25"/>
    <w:bookmarkStart w:id="26" w:name="self-check"/>
    <w:p>
      <w:pPr>
        <w:pStyle w:val="Heading2"/>
      </w:pPr>
      <w:r>
        <w:t xml:space="preserve">Self-check</w:t>
      </w:r>
    </w:p>
    <w:p>
      <w:pPr>
        <w:pStyle w:val="Compact"/>
        <w:numPr>
          <w:ilvl w:val="0"/>
          <w:numId w:val="1002"/>
        </w:numPr>
      </w:pPr>
      <w:r>
        <w:t xml:space="preserve">What two numbers make up a pursuit score, and why does multiplying them matter?</w:t>
      </w:r>
    </w:p>
    <w:p>
      <w:pPr>
        <w:pStyle w:val="Compact"/>
        <w:numPr>
          <w:ilvl w:val="0"/>
          <w:numId w:val="1002"/>
        </w:numPr>
      </w:pPr>
      <w:r>
        <w:t xml:space="preserve">What does a threshold gate do, and why is the</w:t>
      </w:r>
      <w:r>
        <w:t xml:space="preserve"> </w:t>
      </w:r>
      <w:r>
        <w:rPr>
          <w:i/>
          <w:iCs/>
        </w:rPr>
        <w:t xml:space="preserve">discipline</w:t>
      </w:r>
      <w:r>
        <w:t xml:space="preserve"> </w:t>
      </w:r>
      <w:r>
        <w:t xml:space="preserve">of the threshold more important than its exact value?</w:t>
      </w:r>
    </w:p>
    <w:p>
      <w:pPr>
        <w:pStyle w:val="Compact"/>
        <w:numPr>
          <w:ilvl w:val="0"/>
          <w:numId w:val="1002"/>
        </w:numPr>
      </w:pPr>
      <w:r>
        <w:t xml:space="preserve">What is price-to-win, and why is a bid that is too low sometimes worse than a bid that is too high?</w:t>
      </w:r>
    </w:p>
    <w:bookmarkEnd w:id="26"/>
    <w:bookmarkEnd w:id="2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0000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Cs/>
      <w:i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3" Type="http://schemas.openxmlformats.org/officeDocument/2006/relationships/settings" Target="settings.xml"/><Relationship Id="rId7" Type="http://schemas.openxmlformats.org/officeDocument/2006/relationships/footnotes" Target="foot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11" Type="http://schemas.openxmlformats.org/officeDocument/2006/relationships/customXml" Target="../customXml/item3.xml"/><Relationship Id="rId5" Type="http://schemas.openxmlformats.org/officeDocument/2006/relationships/fontTable" Target="fontTable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8F89D4DBC9164EAAD077F6A65CDF0A" ma:contentTypeVersion="27" ma:contentTypeDescription="Create a new document." ma:contentTypeScope="" ma:versionID="7fef060ed95bf7b4c871fb5590ffba56">
  <xsd:schema xmlns:xsd="http://www.w3.org/2001/XMLSchema" xmlns:xs="http://www.w3.org/2001/XMLSchema" xmlns:p="http://schemas.microsoft.com/office/2006/metadata/properties" xmlns:ns2="8776939f-5711-4b7e-8619-ef1d6035b8e5" xmlns:ns3="94a181e0-1203-41b9-8ae0-2dcd1a719fc0" targetNamespace="http://schemas.microsoft.com/office/2006/metadata/properties" ma:root="true" ma:fieldsID="1ac12e87290b2432eb1ed38730e28d76" ns2:_="" ns3:_="">
    <xsd:import namespace="8776939f-5711-4b7e-8619-ef1d6035b8e5"/>
    <xsd:import namespace="94a181e0-1203-41b9-8ae0-2dcd1a719fc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ynoy" minOccurs="0"/>
                <xsd:element ref="ns2:bb08d3d8-654e-405a-bd2f-eb04bd0c1711CountryOrRegion" minOccurs="0"/>
                <xsd:element ref="ns2:bb08d3d8-654e-405a-bd2f-eb04bd0c1711State" minOccurs="0"/>
                <xsd:element ref="ns2:bb08d3d8-654e-405a-bd2f-eb04bd0c1711City" minOccurs="0"/>
                <xsd:element ref="ns2:bb08d3d8-654e-405a-bd2f-eb04bd0c1711PostalCode" minOccurs="0"/>
                <xsd:element ref="ns2:bb08d3d8-654e-405a-bd2f-eb04bd0c1711Street" minOccurs="0"/>
                <xsd:element ref="ns2:bb08d3d8-654e-405a-bd2f-eb04bd0c1711GeoLoc" minOccurs="0"/>
                <xsd:element ref="ns2:bb08d3d8-654e-405a-bd2f-eb04bd0c1711DispNam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Budge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76939f-5711-4b7e-8619-ef1d6035b8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ynoy" ma:index="19" nillable="true" ma:displayName="Location" ma:internalName="ynoy">
      <xsd:simpleType>
        <xsd:restriction base="dms:Unknown"/>
      </xsd:simpleType>
    </xsd:element>
    <xsd:element name="bb08d3d8-654e-405a-bd2f-eb04bd0c1711CountryOrRegion" ma:index="20" nillable="true" ma:displayName="Location: Country/Region" ma:internalName="CountryOrRegion" ma:readOnly="true">
      <xsd:simpleType>
        <xsd:restriction base="dms:Text"/>
      </xsd:simpleType>
    </xsd:element>
    <xsd:element name="bb08d3d8-654e-405a-bd2f-eb04bd0c1711State" ma:index="21" nillable="true" ma:displayName="Location: State" ma:internalName="State" ma:readOnly="true">
      <xsd:simpleType>
        <xsd:restriction base="dms:Text"/>
      </xsd:simpleType>
    </xsd:element>
    <xsd:element name="bb08d3d8-654e-405a-bd2f-eb04bd0c1711City" ma:index="22" nillable="true" ma:displayName="Location: City" ma:internalName="City" ma:readOnly="true">
      <xsd:simpleType>
        <xsd:restriction base="dms:Text"/>
      </xsd:simpleType>
    </xsd:element>
    <xsd:element name="bb08d3d8-654e-405a-bd2f-eb04bd0c1711PostalCode" ma:index="23" nillable="true" ma:displayName="Location: Postal Code" ma:internalName="PostalCode" ma:readOnly="true">
      <xsd:simpleType>
        <xsd:restriction base="dms:Text"/>
      </xsd:simpleType>
    </xsd:element>
    <xsd:element name="bb08d3d8-654e-405a-bd2f-eb04bd0c1711Street" ma:index="24" nillable="true" ma:displayName="Location: Street" ma:internalName="Street" ma:readOnly="true">
      <xsd:simpleType>
        <xsd:restriction base="dms:Text"/>
      </xsd:simpleType>
    </xsd:element>
    <xsd:element name="bb08d3d8-654e-405a-bd2f-eb04bd0c1711GeoLoc" ma:index="25" nillable="true" ma:displayName="Location: Coordinates" ma:internalName="GeoLoc" ma:readOnly="true">
      <xsd:simpleType>
        <xsd:restriction base="dms:Unknown"/>
      </xsd:simpleType>
    </xsd:element>
    <xsd:element name="bb08d3d8-654e-405a-bd2f-eb04bd0c1711DispName" ma:index="26" nillable="true" ma:displayName="Location: Name" ma:internalName="DispName" ma:readOnly="true">
      <xsd:simpleType>
        <xsd:restriction base="dms:Text"/>
      </xsd:simpleType>
    </xsd:element>
    <xsd:element name="MediaLengthInSeconds" ma:index="2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9" nillable="true" ma:taxonomy="true" ma:internalName="lcf76f155ced4ddcb4097134ff3c332f" ma:taxonomyFieldName="MediaServiceImageTags" ma:displayName="Image Tags" ma:readOnly="false" ma:fieldId="{5cf76f15-5ced-4ddc-b409-7134ff3c332f}" ma:taxonomyMulti="true" ma:sspId="52472cf3-6fa7-482d-9f4f-6fbad59795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3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3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Budget" ma:index="33" nillable="true" ma:displayName="Budget" ma:format="Dropdown" ma:internalName="Budget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a181e0-1203-41b9-8ae0-2dcd1a719fc0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30" nillable="true" ma:displayName="Taxonomy Catch All Column" ma:hidden="true" ma:list="{6bd40d36-168b-49d0-9c35-89ec5f868836}" ma:internalName="TaxCatchAll" ma:showField="CatchAllData" ma:web="94a181e0-1203-41b9-8ae0-2dcd1a719fc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ynoy xmlns="8776939f-5711-4b7e-8619-ef1d6035b8e5" xsi:nil="true"/>
    <Budget xmlns="8776939f-5711-4b7e-8619-ef1d6035b8e5" xsi:nil="true"/>
    <lcf76f155ced4ddcb4097134ff3c332f xmlns="8776939f-5711-4b7e-8619-ef1d6035b8e5">
      <Terms xmlns="http://schemas.microsoft.com/office/infopath/2007/PartnerControls"/>
    </lcf76f155ced4ddcb4097134ff3c332f>
    <TaxCatchAll xmlns="94a181e0-1203-41b9-8ae0-2dcd1a719fc0" xsi:nil="true"/>
  </documentManagement>
</p:properties>
</file>

<file path=customXml/itemProps1.xml><?xml version="1.0" encoding="utf-8"?>
<ds:datastoreItem xmlns:ds="http://schemas.openxmlformats.org/officeDocument/2006/customXml" ds:itemID="{6AF7D365-0172-4558-80FC-C18E8C58E4CC}"/>
</file>

<file path=customXml/itemProps2.xml><?xml version="1.0" encoding="utf-8"?>
<ds:datastoreItem xmlns:ds="http://schemas.openxmlformats.org/officeDocument/2006/customXml" ds:itemID="{0A58A2C6-3F46-45B7-A98E-7A91F1E1577A}"/>
</file>

<file path=customXml/itemProps3.xml><?xml version="1.0" encoding="utf-8"?>
<ds:datastoreItem xmlns:ds="http://schemas.openxmlformats.org/officeDocument/2006/customXml" ds:itemID="{C04F4357-0CFF-49A9-8E5B-94ADD9F3F7F2}"/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2026-08-05T12:03:51Z</dcterms:created>
  <dcterms:modified xsi:type="dcterms:W3CDTF">2026-08-05T12:03:51Z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0x010100D88F89D4DBC9164EAAD077F6A65CDF0A</vt:lpwstr>
  </property>
</Properties>
</file>